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31B55" w:rsidR="006345C5" w:rsidP="0001187D" w:rsidRDefault="00D5118B" w14:paraId="78E55576" w14:textId="477C6208">
      <w:pPr>
        <w:jc w:val="both"/>
        <w:outlineLvl w:val="0"/>
        <w:rPr>
          <w:rFonts w:ascii="Helvetica" w:hAnsi="Helvetica"/>
          <w:b/>
          <w:sz w:val="20"/>
          <w:szCs w:val="20"/>
          <w:u w:val="single"/>
        </w:rPr>
      </w:pPr>
      <w:r w:rsidRPr="00431B55">
        <w:rPr>
          <w:rFonts w:ascii="Helvetica" w:hAnsi="Helvetica"/>
          <w:b/>
          <w:sz w:val="20"/>
          <w:szCs w:val="20"/>
          <w:u w:val="single"/>
        </w:rPr>
        <w:t>Gestion débiteurs avec TVA</w:t>
      </w:r>
      <w:r w:rsidRPr="00431B55" w:rsidR="00AA2D26">
        <w:rPr>
          <w:rFonts w:ascii="Helvetica" w:hAnsi="Helvetica"/>
          <w:b/>
          <w:sz w:val="20"/>
          <w:szCs w:val="20"/>
          <w:u w:val="single"/>
        </w:rPr>
        <w:t xml:space="preserve"> / COLL</w:t>
      </w:r>
    </w:p>
    <w:p w:rsidRPr="00431B55" w:rsidR="00D5118B" w:rsidP="006345C5" w:rsidRDefault="00D5118B" w14:paraId="4DCABB4F" w14:textId="77777777">
      <w:pPr>
        <w:jc w:val="both"/>
        <w:rPr>
          <w:rFonts w:ascii="Helvetica" w:hAnsi="Helvetica"/>
          <w:b/>
          <w:sz w:val="20"/>
          <w:szCs w:val="20"/>
        </w:rPr>
      </w:pPr>
    </w:p>
    <w:p w:rsidRPr="00431B55" w:rsidR="00096329" w:rsidP="0001187D" w:rsidRDefault="00096329" w14:paraId="6A02C884" w14:textId="07D35D47">
      <w:pPr>
        <w:jc w:val="both"/>
        <w:outlineLvl w:val="0"/>
        <w:rPr>
          <w:rFonts w:ascii="Helvetica" w:hAnsi="Helvetica"/>
          <w:sz w:val="20"/>
          <w:szCs w:val="20"/>
          <w:u w:val="single"/>
        </w:rPr>
      </w:pPr>
      <w:r w:rsidRPr="00431B55">
        <w:rPr>
          <w:rFonts w:ascii="Helvetica" w:hAnsi="Helvetica"/>
          <w:sz w:val="20"/>
          <w:szCs w:val="20"/>
          <w:u w:val="single"/>
        </w:rPr>
        <w:t>Théorie</w:t>
      </w:r>
    </w:p>
    <w:p w:rsidRPr="00431B55" w:rsidR="00096329" w:rsidP="00096329" w:rsidRDefault="00096329" w14:paraId="6CEA0D07" w14:textId="77777777">
      <w:pPr>
        <w:pStyle w:val="Paragraphedeliste"/>
        <w:numPr>
          <w:ilvl w:val="0"/>
          <w:numId w:val="1"/>
        </w:numPr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 xml:space="preserve">C’est la date de facturation qui détermine si la TVA est due. Le fait que la facture soit encaissée ou pas n’a pas d’influence. </w:t>
      </w:r>
    </w:p>
    <w:p w:rsidRPr="00431B55" w:rsidR="00096329" w:rsidP="00096329" w:rsidRDefault="00096329" w14:paraId="571FFA76" w14:textId="0FA891AC">
      <w:pPr>
        <w:pStyle w:val="Paragraphedeliste"/>
        <w:numPr>
          <w:ilvl w:val="0"/>
          <w:numId w:val="1"/>
        </w:numPr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 xml:space="preserve">Lorsqu’une créance est perdue, la TVA </w:t>
      </w:r>
      <w:r w:rsidRPr="00431B55" w:rsidR="00AA2D26">
        <w:rPr>
          <w:rFonts w:ascii="Helvetica" w:hAnsi="Helvetica"/>
          <w:sz w:val="20"/>
          <w:szCs w:val="20"/>
        </w:rPr>
        <w:t xml:space="preserve">qui a été </w:t>
      </w:r>
      <w:r w:rsidRPr="00431B55">
        <w:rPr>
          <w:rFonts w:ascii="Helvetica" w:hAnsi="Helvetica"/>
          <w:sz w:val="20"/>
          <w:szCs w:val="20"/>
        </w:rPr>
        <w:t>facturée est déduite</w:t>
      </w:r>
      <w:r w:rsidRPr="00431B55" w:rsidR="00AA2D26">
        <w:rPr>
          <w:rFonts w:ascii="Helvetica" w:hAnsi="Helvetica"/>
          <w:sz w:val="20"/>
          <w:szCs w:val="20"/>
        </w:rPr>
        <w:t>.</w:t>
      </w:r>
    </w:p>
    <w:p w:rsidRPr="00431B55" w:rsidR="00096329" w:rsidP="00096329" w:rsidRDefault="00096329" w14:paraId="7438A416" w14:textId="5CBD5038">
      <w:pPr>
        <w:pStyle w:val="Paragraphedeliste"/>
        <w:numPr>
          <w:ilvl w:val="0"/>
          <w:numId w:val="1"/>
        </w:numPr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>Lorsqu’un client qui a fait faillite (et dont la tva a été dédui</w:t>
      </w:r>
      <w:r w:rsidRPr="00431B55" w:rsidR="00F4710A">
        <w:rPr>
          <w:rFonts w:ascii="Helvetica" w:hAnsi="Helvetica"/>
          <w:sz w:val="20"/>
          <w:szCs w:val="20"/>
        </w:rPr>
        <w:t>t</w:t>
      </w:r>
      <w:r w:rsidRPr="00431B55">
        <w:rPr>
          <w:rFonts w:ascii="Helvetica" w:hAnsi="Helvetica"/>
          <w:sz w:val="20"/>
          <w:szCs w:val="20"/>
        </w:rPr>
        <w:t xml:space="preserve">e) refait fortune, la TVA est à nouveau due. </w:t>
      </w:r>
    </w:p>
    <w:p w:rsidRPr="00431B55" w:rsidR="00F4710A" w:rsidP="00096329" w:rsidRDefault="00F4710A" w14:paraId="15FAC786" w14:textId="1D2222BE">
      <w:pPr>
        <w:pStyle w:val="Paragraphedeliste"/>
        <w:numPr>
          <w:ilvl w:val="0"/>
          <w:numId w:val="1"/>
        </w:numPr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>Les intérêts moratoires et les frais de poursuites ne sont pas soumis à la TVA.</w:t>
      </w:r>
    </w:p>
    <w:p w:rsidRPr="00431B55" w:rsidR="00F4710A" w:rsidP="00096329" w:rsidRDefault="00F4710A" w14:paraId="65BB62A3" w14:textId="5FF623AB">
      <w:pPr>
        <w:pStyle w:val="Paragraphedeliste"/>
        <w:numPr>
          <w:ilvl w:val="0"/>
          <w:numId w:val="1"/>
        </w:numPr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  <w:u w:val="single"/>
        </w:rPr>
        <w:t>En résumé</w:t>
      </w:r>
      <w:r w:rsidRPr="00431B55">
        <w:rPr>
          <w:rFonts w:ascii="Helvetica" w:hAnsi="Helvetica"/>
          <w:sz w:val="20"/>
          <w:szCs w:val="20"/>
        </w:rPr>
        <w:t> : la tva est due à la facturation, elle est corrigée (ou annulée) lorsqu’on n’encaisse pas la totalité du montant facturé.</w:t>
      </w:r>
    </w:p>
    <w:p w:rsidRPr="00431B55" w:rsidR="00096329" w:rsidP="006345C5" w:rsidRDefault="00096329" w14:paraId="00D8565D" w14:textId="77777777">
      <w:pPr>
        <w:jc w:val="both"/>
        <w:rPr>
          <w:rFonts w:ascii="Helvetica" w:hAnsi="Helvetica"/>
          <w:b/>
          <w:sz w:val="20"/>
          <w:szCs w:val="20"/>
        </w:rPr>
      </w:pPr>
    </w:p>
    <w:p w:rsidRPr="00431B55" w:rsidR="00096329" w:rsidP="0001187D" w:rsidRDefault="00096329" w14:paraId="68BEF65D" w14:textId="36F4553B">
      <w:pPr>
        <w:jc w:val="both"/>
        <w:outlineLvl w:val="0"/>
        <w:rPr>
          <w:rFonts w:ascii="Helvetica" w:hAnsi="Helvetica"/>
          <w:sz w:val="20"/>
          <w:szCs w:val="20"/>
          <w:u w:val="single"/>
        </w:rPr>
      </w:pPr>
      <w:r w:rsidRPr="00431B55">
        <w:rPr>
          <w:rFonts w:ascii="Helvetica" w:hAnsi="Helvetica"/>
          <w:sz w:val="20"/>
          <w:szCs w:val="20"/>
          <w:u w:val="single"/>
        </w:rPr>
        <w:t>Exercice</w:t>
      </w:r>
    </w:p>
    <w:p w:rsidRPr="00431B55" w:rsidR="00096329" w:rsidP="005352EC" w:rsidRDefault="00905487" w14:paraId="7D2CE7D4" w14:textId="73551855">
      <w:pPr>
        <w:ind w:left="284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 xml:space="preserve">Journaliser les opérations suivantes en utilisant les comptes les plus appropriés. L’entreprise est </w:t>
      </w:r>
      <w:r w:rsidRPr="00431B55" w:rsidR="00CD78CF">
        <w:rPr>
          <w:rFonts w:ascii="Helvetica" w:hAnsi="Helvetica"/>
          <w:sz w:val="20"/>
          <w:szCs w:val="20"/>
        </w:rPr>
        <w:t>assujettie</w:t>
      </w:r>
      <w:r w:rsidRPr="00431B55">
        <w:rPr>
          <w:rFonts w:ascii="Helvetica" w:hAnsi="Helvetica"/>
          <w:sz w:val="20"/>
          <w:szCs w:val="20"/>
        </w:rPr>
        <w:t xml:space="preserve"> à la TVA selon le régime effectif, méthode de la contre-prestation convenue.</w:t>
      </w:r>
    </w:p>
    <w:p w:rsidRPr="00431B55" w:rsidR="00905487" w:rsidP="005352EC" w:rsidRDefault="00905487" w14:paraId="3F3631D7" w14:textId="77777777">
      <w:pPr>
        <w:ind w:left="284"/>
        <w:jc w:val="both"/>
        <w:rPr>
          <w:rFonts w:ascii="Helvetica" w:hAnsi="Helvetica"/>
          <w:sz w:val="20"/>
          <w:szCs w:val="20"/>
        </w:rPr>
      </w:pPr>
    </w:p>
    <w:p w:rsidRPr="00431B55" w:rsidR="00905487" w:rsidP="005352EC" w:rsidRDefault="00905487" w14:paraId="5D2EC2D4" w14:textId="3ED52227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>nous vendons à notre client Joseph</w:t>
      </w:r>
      <w:r w:rsidRPr="00431B55" w:rsidR="00F4710A">
        <w:rPr>
          <w:rFonts w:ascii="Helvetica" w:hAnsi="Helvetica"/>
          <w:sz w:val="20"/>
          <w:szCs w:val="20"/>
        </w:rPr>
        <w:t xml:space="preserve"> le 15 janvier pour</w:t>
      </w:r>
      <w:r w:rsidRPr="00431B55">
        <w:rPr>
          <w:rFonts w:ascii="Helvetica" w:hAnsi="Helvetica"/>
          <w:sz w:val="20"/>
          <w:szCs w:val="20"/>
        </w:rPr>
        <w:t xml:space="preserve"> CHF 10'000.- de marchandise à crédit (montant HT, +</w:t>
      </w:r>
      <w:r w:rsidRPr="00431B55" w:rsidR="0001187D">
        <w:rPr>
          <w:rFonts w:ascii="Helvetica" w:hAnsi="Helvetica"/>
          <w:sz w:val="20"/>
          <w:szCs w:val="20"/>
        </w:rPr>
        <w:t>7.7%</w:t>
      </w:r>
      <w:r w:rsidRPr="00431B55">
        <w:rPr>
          <w:rFonts w:ascii="Helvetica" w:hAnsi="Helvetica"/>
          <w:sz w:val="20"/>
          <w:szCs w:val="20"/>
        </w:rPr>
        <w:t xml:space="preserve"> TVA)</w:t>
      </w:r>
      <w:r w:rsidRPr="00431B55" w:rsidR="00F4710A">
        <w:rPr>
          <w:rFonts w:ascii="Helvetica" w:hAnsi="Helvetica"/>
          <w:sz w:val="20"/>
          <w:szCs w:val="20"/>
        </w:rPr>
        <w:t>. La facture est payable a 10 jours avec escompte ou à 30 jours net.</w:t>
      </w:r>
    </w:p>
    <w:p w:rsidRPr="00431B55" w:rsidR="00905487" w:rsidP="005352EC" w:rsidRDefault="00905487" w14:paraId="7233EF8A" w14:textId="450E9664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>Nous achetons auprès de notre fournisseur Martine pour CHF 4'000.- de marchandise à crédit (montant HT, +</w:t>
      </w:r>
      <w:r w:rsidRPr="00431B55" w:rsidR="0001187D">
        <w:rPr>
          <w:rFonts w:ascii="Helvetica" w:hAnsi="Helvetica"/>
          <w:sz w:val="20"/>
          <w:szCs w:val="20"/>
        </w:rPr>
        <w:t>7.7%</w:t>
      </w:r>
      <w:r w:rsidRPr="00431B55">
        <w:rPr>
          <w:rFonts w:ascii="Helvetica" w:hAnsi="Helvetica"/>
          <w:sz w:val="20"/>
          <w:szCs w:val="20"/>
        </w:rPr>
        <w:t xml:space="preserve"> de TVA). </w:t>
      </w:r>
    </w:p>
    <w:p w:rsidRPr="00431B55" w:rsidR="00A87BFC" w:rsidP="005352EC" w:rsidRDefault="00F4710A" w14:paraId="40B696D8" w14:textId="7721D66B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>Le 25 février, n</w:t>
      </w:r>
      <w:r w:rsidRPr="00431B55" w:rsidR="00A87BFC">
        <w:rPr>
          <w:rFonts w:ascii="Helvetica" w:hAnsi="Helvetica"/>
          <w:sz w:val="20"/>
          <w:szCs w:val="20"/>
        </w:rPr>
        <w:t xml:space="preserve">otre client Joseph </w:t>
      </w:r>
      <w:r w:rsidRPr="00431B55">
        <w:rPr>
          <w:rFonts w:ascii="Helvetica" w:hAnsi="Helvetica"/>
          <w:sz w:val="20"/>
          <w:szCs w:val="20"/>
        </w:rPr>
        <w:t xml:space="preserve">n’a pas payé. Nous décidons de </w:t>
      </w:r>
      <w:r w:rsidRPr="00431B55" w:rsidR="00A87BFC">
        <w:rPr>
          <w:rFonts w:ascii="Helvetica" w:hAnsi="Helvetica"/>
          <w:sz w:val="20"/>
          <w:szCs w:val="20"/>
        </w:rPr>
        <w:t xml:space="preserve">transférer sa créance dans un compte approprié. </w:t>
      </w:r>
    </w:p>
    <w:p w:rsidRPr="00431B55" w:rsidR="00A87BFC" w:rsidP="005352EC" w:rsidRDefault="00F4710A" w14:paraId="37C5B290" w14:textId="19776F6F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>Notre client Joseph ne paie toujours pas. Le 15 avril nous décidons de lui facturer un intérêt de retard de 5%.</w:t>
      </w:r>
    </w:p>
    <w:p w:rsidRPr="00431B55" w:rsidR="00F4710A" w:rsidP="005352EC" w:rsidRDefault="00F4710A" w14:paraId="490C14B7" w14:textId="7B2EBDEC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 xml:space="preserve">Un client nous devait CHF 4'000.- (HT + TVA </w:t>
      </w:r>
      <w:r w:rsidRPr="00431B55" w:rsidR="0001187D">
        <w:rPr>
          <w:rFonts w:ascii="Helvetica" w:hAnsi="Helvetica"/>
          <w:sz w:val="20"/>
          <w:szCs w:val="20"/>
        </w:rPr>
        <w:t>7.7%</w:t>
      </w:r>
      <w:r w:rsidRPr="00431B55">
        <w:rPr>
          <w:rFonts w:ascii="Helvetica" w:hAnsi="Helvetica"/>
          <w:sz w:val="20"/>
          <w:szCs w:val="20"/>
        </w:rPr>
        <w:t>). Nous recevons de l’office des poursuites un virement de CHF 2'000.- et un acte de défaut de bien pour le solde.</w:t>
      </w:r>
    </w:p>
    <w:p w:rsidRPr="00431B55" w:rsidR="005352EC" w:rsidP="005352EC" w:rsidRDefault="005352EC" w14:paraId="61DF29F8" w14:textId="799989D5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 xml:space="preserve">Nous avions vendu à crédit à un client qui a fait faillite il y a 2 ans, pour un montant de CHF 4'000.- (TTC, TVA à 2.5%). Ce client a refait fortune et nous paie aujourd’hui son dû par virement bancaire. </w:t>
      </w:r>
    </w:p>
    <w:p w:rsidRPr="00431B55" w:rsidR="00F4710A" w:rsidP="005352EC" w:rsidRDefault="00F4710A" w14:paraId="419B8659" w14:textId="3C18864E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 xml:space="preserve">Le 17 juin, nous mettons le client Joseph aux poursuites. Cela nous coûte CHF 130.- que nous réglons en espèces, au guichet de l’office. </w:t>
      </w:r>
    </w:p>
    <w:p w:rsidRPr="00431B55" w:rsidR="00F4710A" w:rsidP="005352EC" w:rsidRDefault="00F4710A" w14:paraId="75543F97" w14:textId="0E1EA77D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 xml:space="preserve">Le 19 septembre, Joseph est déclaré en faillite, tout ce qu’il nous devait est perdu. </w:t>
      </w:r>
    </w:p>
    <w:p w:rsidRPr="00431B55" w:rsidR="005352EC" w:rsidP="005352EC" w:rsidRDefault="005352EC" w14:paraId="0DA0263B" w14:textId="6492A51B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 xml:space="preserve">Un client a fait faillite en début d’année, et les CHF 3'000.- qu’il nous devait (montant HT, TVA à </w:t>
      </w:r>
      <w:r w:rsidRPr="00431B55" w:rsidR="0001187D">
        <w:rPr>
          <w:rFonts w:ascii="Helvetica" w:hAnsi="Helvetica"/>
          <w:sz w:val="20"/>
          <w:szCs w:val="20"/>
        </w:rPr>
        <w:t>7.7%</w:t>
      </w:r>
      <w:r w:rsidRPr="00431B55">
        <w:rPr>
          <w:rFonts w:ascii="Helvetica" w:hAnsi="Helvetica"/>
          <w:sz w:val="20"/>
          <w:szCs w:val="20"/>
        </w:rPr>
        <w:t xml:space="preserve">) ont été considérés comme perdus. Il refait aujourd’hui fortune et nous paie par virement bancaire la totalité de ce montant. </w:t>
      </w:r>
    </w:p>
    <w:p w:rsidRPr="00431B55" w:rsidR="005352EC" w:rsidP="005352EC" w:rsidRDefault="005352EC" w14:paraId="02106F8E" w14:textId="6A2A73C8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Helvetica" w:hAnsi="Helvetica"/>
          <w:sz w:val="20"/>
          <w:szCs w:val="20"/>
        </w:rPr>
      </w:pPr>
      <w:r w:rsidRPr="00431B55">
        <w:rPr>
          <w:rFonts w:ascii="Helvetica" w:hAnsi="Helvetica"/>
          <w:sz w:val="20"/>
          <w:szCs w:val="20"/>
        </w:rPr>
        <w:t xml:space="preserve">Nous vendons par virement bancaire l’acte de défaut de bien de Joseph à Intrum Justitia pour CHF </w:t>
      </w:r>
      <w:r w:rsidRPr="00CD78CF" w:rsidR="00CD78CF">
        <w:rPr>
          <w:rFonts w:ascii="Helvetica" w:hAnsi="Helvetica"/>
          <w:b/>
          <w:color w:val="FF0000"/>
          <w:sz w:val="20"/>
          <w:szCs w:val="20"/>
          <w:u w:val="single"/>
        </w:rPr>
        <w:t>430.80</w:t>
      </w:r>
      <w:r w:rsidRPr="00CD78CF">
        <w:rPr>
          <w:rFonts w:ascii="Helvetica" w:hAnsi="Helvetica"/>
          <w:color w:val="FF0000"/>
          <w:sz w:val="20"/>
          <w:szCs w:val="20"/>
        </w:rPr>
        <w:t xml:space="preserve"> </w:t>
      </w:r>
      <w:r w:rsidRPr="00431B55">
        <w:rPr>
          <w:rFonts w:ascii="Helvetica" w:hAnsi="Helvetica"/>
          <w:sz w:val="20"/>
          <w:szCs w:val="20"/>
        </w:rPr>
        <w:t xml:space="preserve">(TVA comprise </w:t>
      </w:r>
      <w:r w:rsidRPr="00431B55" w:rsidR="0001187D">
        <w:rPr>
          <w:rFonts w:ascii="Helvetica" w:hAnsi="Helvetica"/>
          <w:sz w:val="20"/>
          <w:szCs w:val="20"/>
        </w:rPr>
        <w:t>7.7%</w:t>
      </w:r>
      <w:r w:rsidRPr="00431B55">
        <w:rPr>
          <w:rFonts w:ascii="Helvetica" w:hAnsi="Helvetica"/>
          <w:sz w:val="20"/>
          <w:szCs w:val="20"/>
        </w:rPr>
        <w:t>).</w:t>
      </w:r>
    </w:p>
    <w:p w:rsidR="002D2830" w:rsidRDefault="002D2830" w14:paraId="6B2FFD00" w14:textId="56617391">
      <w:pPr>
        <w:rPr>
          <w:rFonts w:ascii="Helvetica" w:hAnsi="Helvetica"/>
          <w:b/>
          <w:sz w:val="20"/>
          <w:szCs w:val="20"/>
          <w:u w:val="single"/>
        </w:rPr>
      </w:pPr>
      <w:r>
        <w:rPr>
          <w:rFonts w:ascii="Helvetica" w:hAnsi="Helvetica"/>
          <w:b/>
          <w:sz w:val="20"/>
          <w:szCs w:val="20"/>
          <w:u w:val="single"/>
        </w:rPr>
        <w:br w:type="page"/>
      </w:r>
    </w:p>
    <w:tbl>
      <w:tblPr>
        <w:tblW w:w="80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92"/>
        <w:gridCol w:w="1315"/>
        <w:gridCol w:w="2500"/>
        <w:gridCol w:w="1300"/>
        <w:gridCol w:w="1300"/>
      </w:tblGrid>
      <w:tr w:rsidRPr="002D2830" w:rsidR="002D2830" w:rsidTr="002D2830" w14:paraId="2019FB88" w14:textId="77777777">
        <w:trPr>
          <w:trHeight w:val="320"/>
        </w:trPr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D20B307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b/>
                <w:bCs/>
                <w:color w:val="000000"/>
                <w:lang w:val="fr-CH"/>
              </w:rPr>
              <w:lastRenderedPageBreak/>
              <w:t>COLL - CORRECTION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A80FE04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val="fr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19DBD9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fr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B7E1C8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val="fr-CH"/>
              </w:rPr>
            </w:pPr>
          </w:p>
        </w:tc>
      </w:tr>
      <w:tr w:rsidRPr="002D2830" w:rsidR="002D2830" w:rsidTr="002D2830" w14:paraId="4B8FDD65" w14:textId="77777777">
        <w:trPr>
          <w:trHeight w:val="320"/>
        </w:trPr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FD34DA0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n°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855B5F7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Débit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B32791B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Crédit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A5CD960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Libellé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70C062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Débit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355BF1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Crédit</w:t>
            </w:r>
          </w:p>
        </w:tc>
      </w:tr>
      <w:tr w:rsidRPr="002D2830" w:rsidR="002D2830" w:rsidTr="002D2830" w14:paraId="526BA1E4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92D4CF2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9EDD747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4687FD6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Ventes M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7FCDB55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A77144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55113A6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10000</w:t>
            </w:r>
          </w:p>
        </w:tc>
      </w:tr>
      <w:tr w:rsidRPr="002D2830" w:rsidR="002D2830" w:rsidTr="002D2830" w14:paraId="419B91BF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62E98D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4A986D5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6A66B5A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TVA due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9712A99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57BED5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E4C5668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770</w:t>
            </w:r>
          </w:p>
        </w:tc>
      </w:tr>
      <w:tr w:rsidRPr="002D2830" w:rsidR="002D2830" w:rsidTr="002D2830" w14:paraId="7BBB7133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8332E8C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E8D626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C. Clients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1044C48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CEF113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A753C03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10770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E8BFED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</w:tr>
      <w:tr w:rsidRPr="002D2830" w:rsidR="002D2830" w:rsidTr="002D2830" w14:paraId="180FD1EC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0F2AED8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92A79B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Achats M.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D8B8AB7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D555B47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E9BB9F7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4000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73A0648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</w:tr>
      <w:tr w:rsidRPr="002D2830" w:rsidR="002D2830" w:rsidTr="002D2830" w14:paraId="407A6B67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1F51570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244473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TVA r./march.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06C3D61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37B818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4245F2B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308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263F9FF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</w:tr>
      <w:tr w:rsidRPr="002D2830" w:rsidR="002D2830" w:rsidTr="002D2830" w14:paraId="30DEB52D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3771800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AE079B5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0AA206C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Dettes F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9AA98E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0B82B8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469FB69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4308</w:t>
            </w:r>
          </w:p>
        </w:tc>
      </w:tr>
      <w:tr w:rsidRPr="002D2830" w:rsidR="002D2830" w:rsidTr="002D2830" w14:paraId="245921EA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AD94481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C25FBC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Cli. Douteux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839D9E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C. Clients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E68C150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3CD10D3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10770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D0B44BF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10770</w:t>
            </w:r>
          </w:p>
        </w:tc>
      </w:tr>
      <w:tr w:rsidRPr="002D2830" w:rsidR="002D2830" w:rsidTr="002D2830" w14:paraId="7AF9A9A4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A76CF46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AFA6BED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Cli. Douteux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40B1F1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Int. Mor. Cl.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9B58854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10770x5x60/100x360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43BF4D4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89.75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B2C3BA9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89.75</w:t>
            </w:r>
          </w:p>
        </w:tc>
      </w:tr>
      <w:tr w:rsidRPr="002D2830" w:rsidR="002D2830" w:rsidTr="002D2830" w14:paraId="75FCAE77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6EE0451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4288E7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2EF1CF1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C. Clients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A36009F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4000 x 107.7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4C2C10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E733D20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4308</w:t>
            </w:r>
          </w:p>
        </w:tc>
      </w:tr>
      <w:tr w:rsidRPr="002D2830" w:rsidR="002D2830" w:rsidTr="002D2830" w14:paraId="71C58246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9BE141F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C16E41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Banque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5385549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D2CCE0D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AE99E36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F67877C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</w:tr>
      <w:tr w:rsidRPr="002D2830" w:rsidR="002D2830" w:rsidTr="002D2830" w14:paraId="0696E47B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123BCBA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30C0ACF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Perte s/cli.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0075581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4681971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4308-2000 / 107.7 x 100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8A4ED3F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2143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A2E8AF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</w:tr>
      <w:tr w:rsidRPr="002D2830" w:rsidR="002D2830" w:rsidTr="002D2830" w14:paraId="75B99E3E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5C7EA9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180A87C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TVA Due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FCC64E6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F47D32C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4308-2000 / 107.7 x 7.7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17D367E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BA0751D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</w:tr>
      <w:tr w:rsidRPr="002D2830" w:rsidR="002D2830" w:rsidTr="002D2830" w14:paraId="146FB31E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CF8A004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91F9E16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Banque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D00635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2F101E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2E23B4E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4000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C09F10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</w:tr>
      <w:tr w:rsidRPr="002D2830" w:rsidR="002D2830" w:rsidTr="002D2830" w14:paraId="3EA599D6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C375420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1A31B61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95E2437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TVA due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BA032DC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BCC1CCD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079E07A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97.55</w:t>
            </w:r>
          </w:p>
        </w:tc>
      </w:tr>
      <w:tr w:rsidRPr="002D2830" w:rsidR="002D2830" w:rsidTr="002D2830" w14:paraId="6428CCD6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20B87B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F61B984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316CE8D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Prod. Except.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CFEC9A5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58A914A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FF48F4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3'902.45</w:t>
            </w:r>
          </w:p>
        </w:tc>
      </w:tr>
      <w:tr w:rsidRPr="002D2830" w:rsidR="002D2830" w:rsidTr="002D2830" w14:paraId="25528EF3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C47234F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02240F4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Cli. Douteux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D228D68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Caisse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197B489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3F5B8E0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4C21955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130</w:t>
            </w:r>
          </w:p>
        </w:tc>
      </w:tr>
      <w:tr w:rsidRPr="002D2830" w:rsidR="002D2830" w:rsidTr="002D2830" w14:paraId="331FD09A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B42B52D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92D625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Perte s/cli.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D220868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DA95A2A" w14:textId="77777777">
            <w:pPr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  <w:t>10000 + 130 + 89.75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4F4FC09" w14:textId="77777777">
            <w:pPr>
              <w:jc w:val="right"/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  <w:t>10219.75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575CC00" w14:textId="77777777">
            <w:pPr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  <w:t>-</w:t>
            </w:r>
          </w:p>
        </w:tc>
      </w:tr>
      <w:tr w:rsidRPr="002D2830" w:rsidR="002D2830" w:rsidTr="002D2830" w14:paraId="097DFA44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6926B0D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A21BA07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AEA4C07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Cli. Douteux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97365D6" w14:textId="77777777">
            <w:pPr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  <w:t>10770 + 130 + 89.75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B168C8C" w14:textId="77777777">
            <w:pPr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B1AAD7A" w14:textId="77777777">
            <w:pPr>
              <w:jc w:val="right"/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b/>
                <w:bCs/>
                <w:color w:val="FF0000"/>
                <w:lang w:val="fr-CH"/>
              </w:rPr>
              <w:t>10989.75</w:t>
            </w:r>
          </w:p>
        </w:tc>
      </w:tr>
      <w:tr w:rsidRPr="002D2830" w:rsidR="002D2830" w:rsidTr="002D2830" w14:paraId="228B53B2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0F6A71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1760E60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TVA due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91268F8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251C1BF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5827315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770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885DD65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</w:tr>
      <w:tr w:rsidRPr="002D2830" w:rsidR="002D2830" w:rsidTr="002D2830" w14:paraId="206763E7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6168BA2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9F7B9F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FA70D94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Perte s/cli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6C0CB77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D4A993A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1E52FCC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3000</w:t>
            </w:r>
          </w:p>
        </w:tc>
      </w:tr>
      <w:tr w:rsidRPr="002D2830" w:rsidR="002D2830" w:rsidTr="002D2830" w14:paraId="7E029AF7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97050A3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4D24E24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30C7526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TVA due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FF703E0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25C96BF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50FE64A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231</w:t>
            </w:r>
          </w:p>
        </w:tc>
      </w:tr>
      <w:tr w:rsidRPr="002D2830" w:rsidR="002D2830" w:rsidTr="002D2830" w14:paraId="453B947F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45000020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C1191FC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Banque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91A3987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E1DC6BC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75DFA35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3231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0B5489EA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</w:tr>
      <w:tr w:rsidRPr="002D2830" w:rsidR="002D2830" w:rsidTr="002D2830" w14:paraId="1E921438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9BCB8B6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806D928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Banque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9C5D8D4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61C1C3F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F7497EC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430.8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6F4F61A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</w:tr>
      <w:tr w:rsidRPr="002D2830" w:rsidR="002D2830" w:rsidTr="002D2830" w14:paraId="4E0D5FB3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51E7AD6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5D5B636B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601ED7E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Perte s/cli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300CAA5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306B0DE9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60161B0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400</w:t>
            </w:r>
          </w:p>
        </w:tc>
      </w:tr>
      <w:tr w:rsidRPr="002D2830" w:rsidR="002D2830" w:rsidTr="002D2830" w14:paraId="62F71FC8" w14:textId="77777777">
        <w:trPr>
          <w:trHeight w:val="320"/>
        </w:trPr>
        <w:tc>
          <w:tcPr>
            <w:tcW w:w="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21D29CB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63D953CB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370871D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TVA due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2EFC1A6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188CF9F2" w14:textId="77777777">
            <w:pPr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D2830" w:rsidR="002D2830" w:rsidP="002D2830" w:rsidRDefault="002D2830" w14:paraId="735D724E" w14:textId="77777777">
            <w:pPr>
              <w:jc w:val="right"/>
              <w:rPr>
                <w:rFonts w:ascii="Calibri" w:hAnsi="Calibri" w:eastAsia="Times New Roman" w:cs="Calibri"/>
                <w:color w:val="000000"/>
                <w:lang w:val="fr-CH"/>
              </w:rPr>
            </w:pPr>
            <w:r w:rsidRPr="002D2830">
              <w:rPr>
                <w:rFonts w:ascii="Calibri" w:hAnsi="Calibri" w:eastAsia="Times New Roman" w:cs="Calibri"/>
                <w:color w:val="000000"/>
                <w:lang w:val="fr-CH"/>
              </w:rPr>
              <w:t>30.8</w:t>
            </w:r>
          </w:p>
        </w:tc>
      </w:tr>
    </w:tbl>
    <w:p w:rsidRPr="00431B55" w:rsidR="00096329" w:rsidRDefault="00096329" w14:paraId="739B5A17" w14:textId="77777777">
      <w:pPr>
        <w:rPr>
          <w:rFonts w:ascii="Helvetica" w:hAnsi="Helvetica"/>
          <w:b/>
          <w:sz w:val="20"/>
          <w:szCs w:val="20"/>
          <w:u w:val="single"/>
        </w:rPr>
      </w:pPr>
      <w:bookmarkStart w:name="_GoBack" w:id="0"/>
      <w:bookmarkEnd w:id="0"/>
    </w:p>
    <w:sectPr w:rsidRPr="00431B55" w:rsidR="00096329" w:rsidSect="00096329">
      <w:headerReference w:type="default" r:id="rId7"/>
      <w:footerReference w:type="default" r:id="rId8"/>
      <w:pgSz w:w="11900" w:h="16840" w:orient="portrait"/>
      <w:pgMar w:top="22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D4E" w:rsidP="00096329" w:rsidRDefault="00FF4D4E" w14:paraId="2467DCF9" w14:textId="77777777">
      <w:r>
        <w:separator/>
      </w:r>
    </w:p>
  </w:endnote>
  <w:endnote w:type="continuationSeparator" w:id="0">
    <w:p w:rsidR="00FF4D4E" w:rsidP="00096329" w:rsidRDefault="00FF4D4E" w14:paraId="512705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96329" w:rsidR="00F4710A" w:rsidRDefault="00F4710A" w14:paraId="1840EDD4" w14:textId="5351DF4D">
    <w:pPr>
      <w:pStyle w:val="Pieddepage"/>
      <w:pBdr>
        <w:bottom w:val="single" w:color="auto" w:sz="6" w:space="1"/>
      </w:pBdr>
      <w:rPr>
        <w:rFonts w:ascii="Garamond" w:hAnsi="Garamond"/>
      </w:rPr>
    </w:pPr>
  </w:p>
  <w:p w:rsidRPr="00096329" w:rsidR="00F4710A" w:rsidRDefault="00F4710A" w14:paraId="2AC9D420" w14:textId="77777777">
    <w:pPr>
      <w:pStyle w:val="Pieddepage"/>
      <w:rPr>
        <w:rFonts w:ascii="Garamond" w:hAnsi="Garamond"/>
      </w:rPr>
    </w:pPr>
  </w:p>
  <w:p w:rsidRPr="00096329" w:rsidR="00F4710A" w:rsidRDefault="00F4710A" w14:paraId="06F06AB6" w14:textId="1EA1ADB3">
    <w:pPr>
      <w:pStyle w:val="Pieddepage"/>
      <w:rPr>
        <w:rFonts w:ascii="Garamond" w:hAnsi="Garamond"/>
      </w:rPr>
    </w:pPr>
    <w:r w:rsidRPr="00096329">
      <w:rPr>
        <w:rFonts w:ascii="Garamond" w:hAnsi="Garamond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D4E" w:rsidP="00096329" w:rsidRDefault="00FF4D4E" w14:paraId="7650CD47" w14:textId="77777777">
      <w:r>
        <w:separator/>
      </w:r>
    </w:p>
  </w:footnote>
  <w:footnote w:type="continuationSeparator" w:id="0">
    <w:p w:rsidR="00FF4D4E" w:rsidP="00096329" w:rsidRDefault="00FF4D4E" w14:paraId="71AEB7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96329" w:rsidR="00F4710A" w:rsidP="00096329" w:rsidRDefault="00AA2D26" w14:paraId="3C0F708F" w14:textId="2C32CD78">
    <w:pPr>
      <w:pBdr>
        <w:top w:val="single" w:color="auto" w:sz="4" w:space="5" w:shadow="1"/>
        <w:left w:val="single" w:color="auto" w:sz="4" w:space="4" w:shadow="1"/>
        <w:bottom w:val="single" w:color="auto" w:sz="4" w:space="5" w:shadow="1"/>
        <w:right w:val="single" w:color="auto" w:sz="4" w:space="4" w:shadow="1"/>
      </w:pBdr>
      <w:jc w:val="both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sz w:val="28"/>
        <w:szCs w:val="28"/>
      </w:rPr>
      <w:t>Formation en comptabilité</w:t>
    </w:r>
  </w:p>
  <w:p w:rsidRPr="00096329" w:rsidR="00F4710A" w:rsidP="00096329" w:rsidRDefault="00AA2D26" w14:paraId="375DF697" w14:textId="31B4C3CA">
    <w:pPr>
      <w:pBdr>
        <w:top w:val="single" w:color="auto" w:sz="4" w:space="5" w:shadow="1"/>
        <w:left w:val="single" w:color="auto" w:sz="4" w:space="4" w:shadow="1"/>
        <w:bottom w:val="single" w:color="auto" w:sz="4" w:space="5" w:shadow="1"/>
        <w:right w:val="single" w:color="auto" w:sz="4" w:space="4" w:shadow="1"/>
      </w:pBdr>
      <w:jc w:val="both"/>
      <w:rPr>
        <w:rFonts w:ascii="Garamond" w:hAnsi="Garamond"/>
        <w:sz w:val="28"/>
        <w:szCs w:val="28"/>
      </w:rPr>
    </w:pPr>
    <w:r>
      <w:rPr>
        <w:rFonts w:ascii="Garamond" w:hAnsi="Garamond"/>
        <w:sz w:val="28"/>
        <w:szCs w:val="28"/>
      </w:rPr>
      <w:t>Exercice complémentaire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E636B"/>
    <w:multiLevelType w:val="hybridMultilevel"/>
    <w:tmpl w:val="FFD4328C"/>
    <w:lvl w:ilvl="0" w:tplc="6744091E">
      <w:start w:val="3"/>
      <w:numFmt w:val="bullet"/>
      <w:lvlText w:val="-"/>
      <w:lvlJc w:val="left"/>
      <w:pPr>
        <w:ind w:left="720" w:hanging="360"/>
      </w:pPr>
      <w:rPr>
        <w:rFonts w:hint="default" w:ascii="Garamond" w:hAnsi="Garamond" w:eastAsiaTheme="minorEastAsia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4B135E"/>
    <w:multiLevelType w:val="hybridMultilevel"/>
    <w:tmpl w:val="3F448B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1495C"/>
    <w:multiLevelType w:val="multilevel"/>
    <w:tmpl w:val="09F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5C5"/>
    <w:rsid w:val="0001187D"/>
    <w:rsid w:val="00096329"/>
    <w:rsid w:val="000A71C7"/>
    <w:rsid w:val="00167418"/>
    <w:rsid w:val="001A5A1D"/>
    <w:rsid w:val="002D2830"/>
    <w:rsid w:val="003F35EC"/>
    <w:rsid w:val="004204F1"/>
    <w:rsid w:val="00431B55"/>
    <w:rsid w:val="004C68A8"/>
    <w:rsid w:val="005352EC"/>
    <w:rsid w:val="005658EE"/>
    <w:rsid w:val="00573A2B"/>
    <w:rsid w:val="006345C5"/>
    <w:rsid w:val="00713CF8"/>
    <w:rsid w:val="007363F6"/>
    <w:rsid w:val="00774C54"/>
    <w:rsid w:val="0077697A"/>
    <w:rsid w:val="00854729"/>
    <w:rsid w:val="00905487"/>
    <w:rsid w:val="00A87BFC"/>
    <w:rsid w:val="00AA2D26"/>
    <w:rsid w:val="00AB046C"/>
    <w:rsid w:val="00B25CBA"/>
    <w:rsid w:val="00CD78CF"/>
    <w:rsid w:val="00D22454"/>
    <w:rsid w:val="00D45B74"/>
    <w:rsid w:val="00D5118B"/>
    <w:rsid w:val="00D717D1"/>
    <w:rsid w:val="00DA3CF0"/>
    <w:rsid w:val="00DF4E37"/>
    <w:rsid w:val="00E562E1"/>
    <w:rsid w:val="00F4710A"/>
    <w:rsid w:val="00FF4D4E"/>
    <w:rsid w:val="5C5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B3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45C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96329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096329"/>
  </w:style>
  <w:style w:type="paragraph" w:styleId="Pieddepage">
    <w:name w:val="footer"/>
    <w:basedOn w:val="Normal"/>
    <w:link w:val="PieddepageCar"/>
    <w:uiPriority w:val="99"/>
    <w:unhideWhenUsed/>
    <w:rsid w:val="00096329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096329"/>
  </w:style>
  <w:style w:type="paragraph" w:styleId="Paragraphedeliste">
    <w:name w:val="List Paragraph"/>
    <w:basedOn w:val="Normal"/>
    <w:uiPriority w:val="34"/>
    <w:qFormat/>
    <w:rsid w:val="000963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7418"/>
    <w:rPr>
      <w:rFonts w:ascii="Lucida Grande" w:hAnsi="Lucida Grande" w:cs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1674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Haute École spécialisée de Suisse occidentale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Yannick Bravo</dc:creator>
  <keywords/>
  <dc:description/>
  <lastModifiedBy>Charlotte Fougeront</lastModifiedBy>
  <revision>10</revision>
  <lastPrinted>2015-05-12T04:55:00.0000000Z</lastPrinted>
  <dcterms:created xsi:type="dcterms:W3CDTF">2015-06-05T05:16:00.0000000Z</dcterms:created>
  <dcterms:modified xsi:type="dcterms:W3CDTF">2021-03-07T10:28:02.7936890Z</dcterms:modified>
</coreProperties>
</file>