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1A4" w:rsidRPr="00392979" w:rsidRDefault="00246DD2" w:rsidP="0024131C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tabs>
          <w:tab w:val="right" w:pos="9065"/>
        </w:tabs>
        <w:spacing w:before="200" w:after="200"/>
        <w:rPr>
          <w:rFonts w:ascii="Helvetica" w:hAnsi="Helvetica"/>
          <w:sz w:val="18"/>
          <w:szCs w:val="18"/>
          <w:lang w:val="fr-CH"/>
        </w:rPr>
      </w:pPr>
      <w:r>
        <w:rPr>
          <w:rFonts w:ascii="Helvetica" w:hAnsi="Helvetica"/>
          <w:sz w:val="18"/>
          <w:szCs w:val="18"/>
          <w:lang w:val="fr-CH"/>
        </w:rPr>
        <w:t>Plan comptable en base légale (état de la mise à jour : 12 juin 2018)</w:t>
      </w:r>
      <w:r w:rsidR="0024131C">
        <w:rPr>
          <w:rFonts w:ascii="Helvetica" w:hAnsi="Helvetica"/>
          <w:sz w:val="18"/>
          <w:szCs w:val="18"/>
          <w:lang w:val="fr-CH"/>
        </w:rPr>
        <w:tab/>
        <w:t>PLAN</w:t>
      </w:r>
    </w:p>
    <w:p w:rsidR="0069625E" w:rsidRPr="00392979" w:rsidRDefault="0069625E">
      <w:pPr>
        <w:rPr>
          <w:rFonts w:ascii="Helvetica" w:hAnsi="Helvetica"/>
          <w:sz w:val="18"/>
          <w:szCs w:val="18"/>
          <w:lang w:val="fr-CH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1247"/>
        <w:gridCol w:w="1583"/>
        <w:gridCol w:w="6379"/>
      </w:tblGrid>
      <w:tr w:rsidR="00EB7041" w:rsidRPr="0069625E" w:rsidTr="0069625E">
        <w:trPr>
          <w:trHeight w:val="962"/>
        </w:trPr>
        <w:tc>
          <w:tcPr>
            <w:tcW w:w="1247" w:type="dxa"/>
            <w:vMerge w:val="restart"/>
          </w:tcPr>
          <w:p w:rsidR="00EB7041" w:rsidRPr="0069625E" w:rsidRDefault="00EB7041" w:rsidP="00EB7041">
            <w:pPr>
              <w:rPr>
                <w:rFonts w:ascii="Helvetica" w:hAnsi="Helvetica"/>
                <w:b/>
                <w:sz w:val="18"/>
                <w:szCs w:val="18"/>
                <w:u w:val="single"/>
                <w:lang w:val="fr-CH"/>
              </w:rPr>
            </w:pPr>
            <w:r w:rsidRPr="0069625E">
              <w:rPr>
                <w:rFonts w:ascii="Helvetica" w:hAnsi="Helvetica"/>
                <w:b/>
                <w:sz w:val="18"/>
                <w:szCs w:val="18"/>
                <w:u w:val="single"/>
                <w:lang w:val="fr-CH"/>
              </w:rPr>
              <w:t>Actif</w:t>
            </w:r>
          </w:p>
          <w:p w:rsidR="00392979" w:rsidRPr="0069625E" w:rsidRDefault="00392979" w:rsidP="00EB7041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>(959a CO)</w:t>
            </w:r>
          </w:p>
        </w:tc>
        <w:tc>
          <w:tcPr>
            <w:tcW w:w="1583" w:type="dxa"/>
          </w:tcPr>
          <w:p w:rsidR="00EB7041" w:rsidRPr="0069625E" w:rsidRDefault="00EB7041" w:rsidP="00EB7041">
            <w:pPr>
              <w:rPr>
                <w:rFonts w:ascii="Helvetica" w:hAnsi="Helvetica"/>
                <w:b/>
                <w:sz w:val="18"/>
                <w:szCs w:val="18"/>
                <w:u w:val="single"/>
                <w:lang w:val="fr-CH"/>
              </w:rPr>
            </w:pPr>
            <w:r w:rsidRPr="0069625E">
              <w:rPr>
                <w:rFonts w:ascii="Helvetica" w:hAnsi="Helvetica"/>
                <w:b/>
                <w:sz w:val="18"/>
                <w:szCs w:val="18"/>
                <w:u w:val="single"/>
                <w:lang w:val="fr-CH"/>
              </w:rPr>
              <w:t>actif circulant</w:t>
            </w:r>
          </w:p>
          <w:p w:rsidR="00EB7041" w:rsidRPr="0069625E" w:rsidRDefault="00EB7041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6379" w:type="dxa"/>
          </w:tcPr>
          <w:p w:rsidR="00EB7041" w:rsidRPr="0069625E" w:rsidRDefault="00EB7041" w:rsidP="00392979">
            <w:pPr>
              <w:pStyle w:val="Paragraphedeliste"/>
              <w:numPr>
                <w:ilvl w:val="0"/>
                <w:numId w:val="1"/>
              </w:numPr>
              <w:ind w:left="456" w:hanging="456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>trésorerie et actifs cotés en bourse détenus à court terme,</w:t>
            </w:r>
          </w:p>
          <w:p w:rsidR="00EB7041" w:rsidRPr="0069625E" w:rsidRDefault="00EB7041" w:rsidP="00392979">
            <w:pPr>
              <w:pStyle w:val="Paragraphedeliste"/>
              <w:numPr>
                <w:ilvl w:val="0"/>
                <w:numId w:val="1"/>
              </w:numPr>
              <w:ind w:left="456" w:hanging="456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>créances résultant de la vente de biens et de prestations de services,</w:t>
            </w:r>
          </w:p>
          <w:p w:rsidR="00EB7041" w:rsidRPr="0069625E" w:rsidRDefault="00EB7041" w:rsidP="00392979">
            <w:pPr>
              <w:pStyle w:val="Paragraphedeliste"/>
              <w:numPr>
                <w:ilvl w:val="0"/>
                <w:numId w:val="1"/>
              </w:numPr>
              <w:ind w:left="456" w:hanging="456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>autres créances à court terme,</w:t>
            </w:r>
          </w:p>
          <w:p w:rsidR="00EB7041" w:rsidRPr="0069625E" w:rsidRDefault="00EB7041" w:rsidP="00392979">
            <w:pPr>
              <w:pStyle w:val="Paragraphedeliste"/>
              <w:numPr>
                <w:ilvl w:val="0"/>
                <w:numId w:val="1"/>
              </w:numPr>
              <w:ind w:left="456" w:hanging="456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>stocks et prestations de services non facturées,</w:t>
            </w:r>
          </w:p>
          <w:p w:rsidR="00EB7041" w:rsidRPr="0069625E" w:rsidRDefault="00EB7041" w:rsidP="00392979">
            <w:pPr>
              <w:pStyle w:val="Paragraphedeliste"/>
              <w:numPr>
                <w:ilvl w:val="0"/>
                <w:numId w:val="1"/>
              </w:numPr>
              <w:ind w:left="456" w:hanging="456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>actifs de régularisation;</w:t>
            </w:r>
          </w:p>
        </w:tc>
      </w:tr>
      <w:tr w:rsidR="00EB7041" w:rsidRPr="0069625E" w:rsidTr="0069625E">
        <w:tc>
          <w:tcPr>
            <w:tcW w:w="1247" w:type="dxa"/>
            <w:vMerge/>
          </w:tcPr>
          <w:p w:rsidR="00EB7041" w:rsidRPr="0069625E" w:rsidRDefault="00EB7041">
            <w:pPr>
              <w:rPr>
                <w:rFonts w:ascii="Helvetica" w:hAnsi="Helvetica"/>
                <w:b/>
                <w:sz w:val="18"/>
                <w:szCs w:val="18"/>
                <w:u w:val="single"/>
                <w:lang w:val="fr-CH"/>
              </w:rPr>
            </w:pPr>
          </w:p>
        </w:tc>
        <w:tc>
          <w:tcPr>
            <w:tcW w:w="1583" w:type="dxa"/>
          </w:tcPr>
          <w:p w:rsidR="00EB7041" w:rsidRPr="0069625E" w:rsidRDefault="00EB7041">
            <w:pPr>
              <w:rPr>
                <w:rFonts w:ascii="Helvetica" w:hAnsi="Helvetica"/>
                <w:b/>
                <w:sz w:val="18"/>
                <w:szCs w:val="18"/>
                <w:u w:val="single"/>
                <w:lang w:val="fr-CH"/>
              </w:rPr>
            </w:pPr>
            <w:r w:rsidRPr="0069625E">
              <w:rPr>
                <w:rFonts w:ascii="Helvetica" w:hAnsi="Helvetica"/>
                <w:b/>
                <w:sz w:val="18"/>
                <w:szCs w:val="18"/>
                <w:u w:val="single"/>
                <w:lang w:val="fr-CH"/>
              </w:rPr>
              <w:t>actif immobilisé</w:t>
            </w:r>
          </w:p>
        </w:tc>
        <w:tc>
          <w:tcPr>
            <w:tcW w:w="6379" w:type="dxa"/>
          </w:tcPr>
          <w:p w:rsidR="00EB7041" w:rsidRPr="0069625E" w:rsidRDefault="00EB7041" w:rsidP="00392979">
            <w:pPr>
              <w:pStyle w:val="Paragraphedeliste"/>
              <w:numPr>
                <w:ilvl w:val="0"/>
                <w:numId w:val="1"/>
              </w:numPr>
              <w:ind w:left="456" w:hanging="456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>immobilisations financières,</w:t>
            </w:r>
          </w:p>
          <w:p w:rsidR="00EB7041" w:rsidRPr="0069625E" w:rsidRDefault="00EB7041" w:rsidP="00392979">
            <w:pPr>
              <w:pStyle w:val="Paragraphedeliste"/>
              <w:numPr>
                <w:ilvl w:val="0"/>
                <w:numId w:val="1"/>
              </w:numPr>
              <w:ind w:left="456" w:hanging="456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>participations,</w:t>
            </w:r>
          </w:p>
          <w:p w:rsidR="00EB7041" w:rsidRPr="0069625E" w:rsidRDefault="00EB7041" w:rsidP="00392979">
            <w:pPr>
              <w:pStyle w:val="Paragraphedeliste"/>
              <w:numPr>
                <w:ilvl w:val="0"/>
                <w:numId w:val="1"/>
              </w:numPr>
              <w:ind w:left="456" w:hanging="456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>immobilisations corporelles,</w:t>
            </w:r>
          </w:p>
          <w:p w:rsidR="00EB7041" w:rsidRPr="0069625E" w:rsidRDefault="00EB7041" w:rsidP="00392979">
            <w:pPr>
              <w:pStyle w:val="Paragraphedeliste"/>
              <w:numPr>
                <w:ilvl w:val="0"/>
                <w:numId w:val="1"/>
              </w:numPr>
              <w:ind w:left="456" w:hanging="456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>immobilisations incorporelles,</w:t>
            </w:r>
          </w:p>
          <w:p w:rsidR="00EB7041" w:rsidRPr="0069625E" w:rsidRDefault="00EB7041" w:rsidP="00392979">
            <w:pPr>
              <w:pStyle w:val="Paragraphedeliste"/>
              <w:numPr>
                <w:ilvl w:val="0"/>
                <w:numId w:val="1"/>
              </w:numPr>
              <w:ind w:left="456" w:hanging="456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>capital social ou capital de la fondation non libéré.</w:t>
            </w:r>
          </w:p>
        </w:tc>
      </w:tr>
      <w:tr w:rsidR="00EB7041" w:rsidRPr="0069625E" w:rsidTr="0069625E">
        <w:tc>
          <w:tcPr>
            <w:tcW w:w="1247" w:type="dxa"/>
            <w:vMerge w:val="restart"/>
          </w:tcPr>
          <w:p w:rsidR="00EB7041" w:rsidRPr="0069625E" w:rsidRDefault="00EB7041">
            <w:pPr>
              <w:rPr>
                <w:rFonts w:ascii="Helvetica" w:hAnsi="Helvetica"/>
                <w:b/>
                <w:sz w:val="18"/>
                <w:szCs w:val="18"/>
                <w:u w:val="single"/>
                <w:lang w:val="fr-CH"/>
              </w:rPr>
            </w:pPr>
            <w:r w:rsidRPr="0069625E">
              <w:rPr>
                <w:rFonts w:ascii="Helvetica" w:hAnsi="Helvetica"/>
                <w:b/>
                <w:sz w:val="18"/>
                <w:szCs w:val="18"/>
                <w:u w:val="single"/>
                <w:lang w:val="fr-CH"/>
              </w:rPr>
              <w:t>Passif</w:t>
            </w:r>
          </w:p>
          <w:p w:rsidR="00392979" w:rsidRPr="0069625E" w:rsidRDefault="00392979">
            <w:pPr>
              <w:rPr>
                <w:rFonts w:ascii="Helvetica" w:hAnsi="Helvetica"/>
                <w:b/>
                <w:sz w:val="18"/>
                <w:szCs w:val="18"/>
                <w:u w:val="single"/>
                <w:lang w:val="fr-CH"/>
              </w:rPr>
            </w:pPr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>(959a, al. 2 CO)</w:t>
            </w:r>
          </w:p>
        </w:tc>
        <w:tc>
          <w:tcPr>
            <w:tcW w:w="1583" w:type="dxa"/>
          </w:tcPr>
          <w:p w:rsidR="00EB7041" w:rsidRPr="0069625E" w:rsidRDefault="00EB7041">
            <w:pPr>
              <w:rPr>
                <w:rFonts w:ascii="Helvetica" w:hAnsi="Helvetica"/>
                <w:b/>
                <w:sz w:val="18"/>
                <w:szCs w:val="18"/>
                <w:u w:val="single"/>
                <w:lang w:val="fr-CH"/>
              </w:rPr>
            </w:pPr>
            <w:r w:rsidRPr="0069625E">
              <w:rPr>
                <w:rFonts w:ascii="Helvetica" w:hAnsi="Helvetica"/>
                <w:b/>
                <w:sz w:val="18"/>
                <w:szCs w:val="18"/>
                <w:u w:val="single"/>
                <w:lang w:val="fr-CH"/>
              </w:rPr>
              <w:t>capitaux étrangers à court terme</w:t>
            </w:r>
          </w:p>
        </w:tc>
        <w:tc>
          <w:tcPr>
            <w:tcW w:w="6379" w:type="dxa"/>
          </w:tcPr>
          <w:p w:rsidR="00EB7041" w:rsidRPr="0069625E" w:rsidRDefault="00EB7041" w:rsidP="00392979">
            <w:pPr>
              <w:pStyle w:val="Paragraphedeliste"/>
              <w:numPr>
                <w:ilvl w:val="0"/>
                <w:numId w:val="1"/>
              </w:numPr>
              <w:ind w:left="456" w:hanging="456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>dettes résultant de l'achat de biens et de prestations de services,</w:t>
            </w:r>
          </w:p>
          <w:p w:rsidR="00EB7041" w:rsidRPr="0069625E" w:rsidRDefault="00EB7041" w:rsidP="00392979">
            <w:pPr>
              <w:pStyle w:val="Paragraphedeliste"/>
              <w:numPr>
                <w:ilvl w:val="0"/>
                <w:numId w:val="1"/>
              </w:numPr>
              <w:ind w:left="456" w:hanging="456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>dettes à court terme portant intérêt,</w:t>
            </w:r>
          </w:p>
          <w:p w:rsidR="00EB7041" w:rsidRPr="0069625E" w:rsidRDefault="00EB7041" w:rsidP="00392979">
            <w:pPr>
              <w:pStyle w:val="Paragraphedeliste"/>
              <w:numPr>
                <w:ilvl w:val="0"/>
                <w:numId w:val="1"/>
              </w:numPr>
              <w:ind w:left="456" w:hanging="456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>autres dettes à court terme,</w:t>
            </w:r>
          </w:p>
          <w:p w:rsidR="00EB7041" w:rsidRPr="0069625E" w:rsidRDefault="00EB7041" w:rsidP="00392979">
            <w:pPr>
              <w:pStyle w:val="Paragraphedeliste"/>
              <w:numPr>
                <w:ilvl w:val="0"/>
                <w:numId w:val="1"/>
              </w:numPr>
              <w:ind w:left="456" w:hanging="456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>passifs de régularisation</w:t>
            </w:r>
          </w:p>
        </w:tc>
      </w:tr>
      <w:tr w:rsidR="00EB7041" w:rsidRPr="0069625E" w:rsidTr="0069625E">
        <w:tc>
          <w:tcPr>
            <w:tcW w:w="1247" w:type="dxa"/>
            <w:vMerge/>
          </w:tcPr>
          <w:p w:rsidR="00EB7041" w:rsidRPr="0069625E" w:rsidRDefault="00EB7041">
            <w:pPr>
              <w:rPr>
                <w:rFonts w:ascii="Helvetica" w:hAnsi="Helvetica"/>
                <w:b/>
                <w:sz w:val="18"/>
                <w:szCs w:val="18"/>
                <w:u w:val="single"/>
                <w:lang w:val="fr-CH"/>
              </w:rPr>
            </w:pPr>
          </w:p>
        </w:tc>
        <w:tc>
          <w:tcPr>
            <w:tcW w:w="1583" w:type="dxa"/>
          </w:tcPr>
          <w:p w:rsidR="00EB7041" w:rsidRPr="0069625E" w:rsidRDefault="00EB7041">
            <w:pPr>
              <w:rPr>
                <w:rFonts w:ascii="Helvetica" w:hAnsi="Helvetica"/>
                <w:b/>
                <w:sz w:val="18"/>
                <w:szCs w:val="18"/>
                <w:u w:val="single"/>
                <w:lang w:val="fr-CH"/>
              </w:rPr>
            </w:pPr>
            <w:r w:rsidRPr="0069625E">
              <w:rPr>
                <w:rFonts w:ascii="Helvetica" w:hAnsi="Helvetica"/>
                <w:b/>
                <w:sz w:val="18"/>
                <w:szCs w:val="18"/>
                <w:u w:val="single"/>
                <w:lang w:val="fr-CH"/>
              </w:rPr>
              <w:t>capitaux étrangers à long terme</w:t>
            </w:r>
          </w:p>
        </w:tc>
        <w:tc>
          <w:tcPr>
            <w:tcW w:w="6379" w:type="dxa"/>
          </w:tcPr>
          <w:p w:rsidR="00EB7041" w:rsidRPr="0069625E" w:rsidRDefault="00EB7041" w:rsidP="00392979">
            <w:pPr>
              <w:pStyle w:val="Paragraphedeliste"/>
              <w:numPr>
                <w:ilvl w:val="0"/>
                <w:numId w:val="1"/>
              </w:numPr>
              <w:ind w:left="456" w:hanging="456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>dettes à long terme portant intérêt,</w:t>
            </w:r>
          </w:p>
          <w:p w:rsidR="00EB7041" w:rsidRPr="0069625E" w:rsidRDefault="00EB7041" w:rsidP="00392979">
            <w:pPr>
              <w:pStyle w:val="Paragraphedeliste"/>
              <w:numPr>
                <w:ilvl w:val="0"/>
                <w:numId w:val="1"/>
              </w:numPr>
              <w:ind w:left="456" w:hanging="456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>autres dettes à long terme,</w:t>
            </w:r>
          </w:p>
          <w:p w:rsidR="00EB7041" w:rsidRPr="0069625E" w:rsidRDefault="00EB7041" w:rsidP="00392979">
            <w:pPr>
              <w:pStyle w:val="Paragraphedeliste"/>
              <w:numPr>
                <w:ilvl w:val="0"/>
                <w:numId w:val="1"/>
              </w:numPr>
              <w:ind w:left="456" w:hanging="456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>provisions et postes analogues prévus par la loi</w:t>
            </w:r>
          </w:p>
        </w:tc>
      </w:tr>
      <w:tr w:rsidR="00EB7041" w:rsidRPr="0069625E" w:rsidTr="0069625E">
        <w:tc>
          <w:tcPr>
            <w:tcW w:w="1247" w:type="dxa"/>
            <w:vMerge/>
          </w:tcPr>
          <w:p w:rsidR="00EB7041" w:rsidRPr="0069625E" w:rsidRDefault="00EB7041">
            <w:pPr>
              <w:rPr>
                <w:rFonts w:ascii="Helvetica" w:hAnsi="Helvetica"/>
                <w:b/>
                <w:sz w:val="18"/>
                <w:szCs w:val="18"/>
                <w:u w:val="single"/>
                <w:lang w:val="fr-CH"/>
              </w:rPr>
            </w:pPr>
          </w:p>
        </w:tc>
        <w:tc>
          <w:tcPr>
            <w:tcW w:w="1583" w:type="dxa"/>
          </w:tcPr>
          <w:p w:rsidR="00EB7041" w:rsidRPr="0069625E" w:rsidRDefault="00EB7041">
            <w:pPr>
              <w:rPr>
                <w:rFonts w:ascii="Helvetica" w:hAnsi="Helvetica"/>
                <w:b/>
                <w:sz w:val="18"/>
                <w:szCs w:val="18"/>
                <w:u w:val="single"/>
                <w:lang w:val="fr-CH"/>
              </w:rPr>
            </w:pPr>
            <w:r w:rsidRPr="0069625E">
              <w:rPr>
                <w:rFonts w:ascii="Helvetica" w:hAnsi="Helvetica"/>
                <w:b/>
                <w:sz w:val="18"/>
                <w:szCs w:val="18"/>
                <w:u w:val="single"/>
                <w:lang w:val="fr-CH"/>
              </w:rPr>
              <w:t>capitaux propres</w:t>
            </w:r>
          </w:p>
        </w:tc>
        <w:tc>
          <w:tcPr>
            <w:tcW w:w="6379" w:type="dxa"/>
          </w:tcPr>
          <w:p w:rsidR="00EB7041" w:rsidRPr="0069625E" w:rsidRDefault="00EB7041" w:rsidP="00392979">
            <w:pPr>
              <w:pStyle w:val="Paragraphedeliste"/>
              <w:numPr>
                <w:ilvl w:val="0"/>
                <w:numId w:val="1"/>
              </w:numPr>
              <w:ind w:left="456" w:hanging="456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>capital social ou capital de la fondation, le cas échéant ventilé par catégories de droits de participation,</w:t>
            </w:r>
          </w:p>
          <w:p w:rsidR="00EB7041" w:rsidRPr="0069625E" w:rsidRDefault="00EB7041" w:rsidP="00392979">
            <w:pPr>
              <w:pStyle w:val="Paragraphedeliste"/>
              <w:numPr>
                <w:ilvl w:val="0"/>
                <w:numId w:val="1"/>
              </w:numPr>
              <w:ind w:left="456" w:hanging="456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>réserve légale issue du capital,</w:t>
            </w:r>
          </w:p>
          <w:p w:rsidR="00EB7041" w:rsidRPr="0069625E" w:rsidRDefault="00EB7041" w:rsidP="00392979">
            <w:pPr>
              <w:pStyle w:val="Paragraphedeliste"/>
              <w:numPr>
                <w:ilvl w:val="0"/>
                <w:numId w:val="1"/>
              </w:numPr>
              <w:ind w:left="456" w:hanging="456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>réserve légale issue du bénéfice,</w:t>
            </w:r>
          </w:p>
          <w:p w:rsidR="00EB7041" w:rsidRPr="0069625E" w:rsidRDefault="00EB7041" w:rsidP="00392979">
            <w:pPr>
              <w:pStyle w:val="Paragraphedeliste"/>
              <w:numPr>
                <w:ilvl w:val="0"/>
                <w:numId w:val="1"/>
              </w:numPr>
              <w:ind w:left="456" w:hanging="456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>réserves facultatives issues du bénéfice ou pertes cumulées, en diminution des capitaux propres,</w:t>
            </w:r>
          </w:p>
          <w:p w:rsidR="00EB7041" w:rsidRPr="0069625E" w:rsidRDefault="00EB7041" w:rsidP="00392979">
            <w:pPr>
              <w:pStyle w:val="Paragraphedeliste"/>
              <w:numPr>
                <w:ilvl w:val="0"/>
                <w:numId w:val="1"/>
              </w:numPr>
              <w:ind w:left="456" w:hanging="456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>propres parts du capital, en diminution des capitaux propres.</w:t>
            </w:r>
          </w:p>
        </w:tc>
      </w:tr>
      <w:tr w:rsidR="00392979" w:rsidRPr="0069625E" w:rsidTr="0069625E">
        <w:tc>
          <w:tcPr>
            <w:tcW w:w="2830" w:type="dxa"/>
            <w:gridSpan w:val="2"/>
          </w:tcPr>
          <w:p w:rsidR="00392979" w:rsidRPr="0069625E" w:rsidRDefault="00392979">
            <w:pPr>
              <w:rPr>
                <w:rFonts w:ascii="Helvetica" w:hAnsi="Helvetica"/>
                <w:b/>
                <w:sz w:val="18"/>
                <w:szCs w:val="18"/>
                <w:u w:val="single"/>
                <w:lang w:val="fr-CH"/>
              </w:rPr>
            </w:pPr>
            <w:r w:rsidRPr="0069625E">
              <w:rPr>
                <w:rFonts w:ascii="Helvetica" w:hAnsi="Helvetica"/>
                <w:b/>
                <w:sz w:val="18"/>
                <w:szCs w:val="18"/>
                <w:u w:val="single"/>
                <w:lang w:val="fr-CH"/>
              </w:rPr>
              <w:t>Compte de résultat par nature</w:t>
            </w:r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 xml:space="preserve"> (959b, al. 2 CO)</w:t>
            </w:r>
          </w:p>
        </w:tc>
        <w:tc>
          <w:tcPr>
            <w:tcW w:w="6379" w:type="dxa"/>
          </w:tcPr>
          <w:p w:rsidR="00392979" w:rsidRPr="0069625E" w:rsidRDefault="00392979" w:rsidP="00392979">
            <w:pPr>
              <w:pStyle w:val="Paragraphedeliste"/>
              <w:numPr>
                <w:ilvl w:val="0"/>
                <w:numId w:val="1"/>
              </w:numPr>
              <w:ind w:left="456" w:hanging="456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>produits nets des ventes de biens et de prestations de services;</w:t>
            </w:r>
          </w:p>
          <w:p w:rsidR="00392979" w:rsidRPr="0069625E" w:rsidRDefault="00392979" w:rsidP="00392979">
            <w:pPr>
              <w:pStyle w:val="Paragraphedeliste"/>
              <w:numPr>
                <w:ilvl w:val="0"/>
                <w:numId w:val="1"/>
              </w:numPr>
              <w:ind w:left="456" w:hanging="456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>variation des stocks de produits finis et semi-finis et variation des prestations de services non facturées;</w:t>
            </w:r>
          </w:p>
          <w:p w:rsidR="00392979" w:rsidRPr="0069625E" w:rsidRDefault="00392979" w:rsidP="00392979">
            <w:pPr>
              <w:pStyle w:val="Paragraphedeliste"/>
              <w:numPr>
                <w:ilvl w:val="0"/>
                <w:numId w:val="1"/>
              </w:numPr>
              <w:ind w:left="456" w:hanging="456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>charges de matériel;</w:t>
            </w:r>
          </w:p>
          <w:p w:rsidR="00392979" w:rsidRPr="0069625E" w:rsidRDefault="00392979" w:rsidP="00392979">
            <w:pPr>
              <w:pStyle w:val="Paragraphedeliste"/>
              <w:numPr>
                <w:ilvl w:val="0"/>
                <w:numId w:val="1"/>
              </w:numPr>
              <w:ind w:left="456" w:hanging="456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>charges de personnel;</w:t>
            </w:r>
          </w:p>
          <w:p w:rsidR="00392979" w:rsidRPr="0069625E" w:rsidRDefault="00392979" w:rsidP="00392979">
            <w:pPr>
              <w:pStyle w:val="Paragraphedeliste"/>
              <w:numPr>
                <w:ilvl w:val="0"/>
                <w:numId w:val="1"/>
              </w:numPr>
              <w:ind w:left="456" w:hanging="456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>autres charges d'exploitation;</w:t>
            </w:r>
          </w:p>
          <w:p w:rsidR="00392979" w:rsidRPr="0069625E" w:rsidRDefault="00392979" w:rsidP="00392979">
            <w:pPr>
              <w:pStyle w:val="Paragraphedeliste"/>
              <w:numPr>
                <w:ilvl w:val="0"/>
                <w:numId w:val="1"/>
              </w:numPr>
              <w:ind w:left="456" w:hanging="456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>amortissements et corrections de valeur sur les postes de l'actif immobilisé;</w:t>
            </w:r>
          </w:p>
          <w:p w:rsidR="00392979" w:rsidRPr="0069625E" w:rsidRDefault="00392979" w:rsidP="00392979">
            <w:pPr>
              <w:pStyle w:val="Paragraphedeliste"/>
              <w:numPr>
                <w:ilvl w:val="0"/>
                <w:numId w:val="1"/>
              </w:numPr>
              <w:ind w:left="456" w:hanging="456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>charges et produits financiers;</w:t>
            </w:r>
          </w:p>
          <w:p w:rsidR="00392979" w:rsidRPr="0069625E" w:rsidRDefault="00392979" w:rsidP="00392979">
            <w:pPr>
              <w:pStyle w:val="Paragraphedeliste"/>
              <w:numPr>
                <w:ilvl w:val="0"/>
                <w:numId w:val="1"/>
              </w:numPr>
              <w:ind w:left="456" w:hanging="456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>charges et produits hors exploitation;</w:t>
            </w:r>
          </w:p>
          <w:p w:rsidR="00392979" w:rsidRPr="0069625E" w:rsidRDefault="00392979" w:rsidP="00392979">
            <w:pPr>
              <w:pStyle w:val="Paragraphedeliste"/>
              <w:numPr>
                <w:ilvl w:val="0"/>
                <w:numId w:val="1"/>
              </w:numPr>
              <w:ind w:left="456" w:hanging="456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>charges et produits exceptionnels, uniques ou hors période;</w:t>
            </w:r>
          </w:p>
          <w:p w:rsidR="00392979" w:rsidRPr="0069625E" w:rsidRDefault="00392979" w:rsidP="00392979">
            <w:pPr>
              <w:pStyle w:val="Paragraphedeliste"/>
              <w:numPr>
                <w:ilvl w:val="0"/>
                <w:numId w:val="1"/>
              </w:numPr>
              <w:ind w:left="456" w:hanging="456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>impôts directs;</w:t>
            </w:r>
          </w:p>
          <w:p w:rsidR="00392979" w:rsidRPr="0069625E" w:rsidRDefault="00392979" w:rsidP="00392979">
            <w:pPr>
              <w:pStyle w:val="Paragraphedeliste"/>
              <w:numPr>
                <w:ilvl w:val="0"/>
                <w:numId w:val="1"/>
              </w:numPr>
              <w:ind w:left="456" w:hanging="456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>bénéfice ou perte de l'exercice.</w:t>
            </w:r>
          </w:p>
        </w:tc>
      </w:tr>
    </w:tbl>
    <w:p w:rsidR="0069625E" w:rsidRDefault="0069625E" w:rsidP="00246DD2">
      <w:pPr>
        <w:rPr>
          <w:rFonts w:ascii="Helvetica" w:hAnsi="Helvetica"/>
          <w:sz w:val="18"/>
          <w:szCs w:val="18"/>
          <w:lang w:val="fr-CH"/>
        </w:rPr>
      </w:pPr>
    </w:p>
    <w:p w:rsidR="00246DD2" w:rsidRDefault="00246DD2">
      <w:pPr>
        <w:rPr>
          <w:rFonts w:ascii="Helvetica" w:hAnsi="Helvetica"/>
          <w:b/>
          <w:sz w:val="18"/>
          <w:szCs w:val="18"/>
          <w:u w:val="single"/>
          <w:lang w:val="fr-CH"/>
        </w:rPr>
      </w:pPr>
      <w:r>
        <w:rPr>
          <w:rFonts w:ascii="Helvetica" w:hAnsi="Helvetica"/>
          <w:b/>
          <w:sz w:val="18"/>
          <w:szCs w:val="18"/>
          <w:u w:val="single"/>
          <w:lang w:val="fr-CH"/>
        </w:rPr>
        <w:br w:type="page"/>
      </w:r>
    </w:p>
    <w:p w:rsidR="00246DD2" w:rsidRDefault="00246DD2" w:rsidP="00246DD2">
      <w:pPr>
        <w:rPr>
          <w:rFonts w:ascii="Helvetica" w:hAnsi="Helvetica"/>
          <w:sz w:val="18"/>
          <w:szCs w:val="18"/>
          <w:lang w:val="fr-CH"/>
        </w:rPr>
      </w:pPr>
    </w:p>
    <w:p w:rsidR="00246DD2" w:rsidRPr="00246DD2" w:rsidRDefault="00246DD2" w:rsidP="00B87C5C">
      <w:pPr>
        <w:jc w:val="both"/>
        <w:rPr>
          <w:rFonts w:ascii="Helvetica" w:hAnsi="Helvetica"/>
          <w:b/>
          <w:sz w:val="18"/>
          <w:szCs w:val="18"/>
          <w:u w:val="single"/>
          <w:lang w:val="fr-CH"/>
        </w:rPr>
      </w:pPr>
      <w:r>
        <w:rPr>
          <w:rFonts w:ascii="Helvetica" w:hAnsi="Helvetica"/>
          <w:b/>
          <w:sz w:val="18"/>
          <w:szCs w:val="18"/>
          <w:u w:val="single"/>
          <w:lang w:val="fr-CH"/>
        </w:rPr>
        <w:t>Obligation de tenir une comptabilité</w:t>
      </w:r>
      <w:r w:rsidRPr="00246DD2">
        <w:rPr>
          <w:rFonts w:ascii="Helvetica" w:hAnsi="Helvetica"/>
          <w:sz w:val="18"/>
          <w:szCs w:val="18"/>
          <w:lang w:val="fr-CH"/>
        </w:rPr>
        <w:t xml:space="preserve"> (957 CO)</w:t>
      </w:r>
    </w:p>
    <w:p w:rsidR="00246DD2" w:rsidRPr="00246DD2" w:rsidRDefault="00246DD2" w:rsidP="00B87C5C">
      <w:pPr>
        <w:pStyle w:val="Paragraphedeliste"/>
        <w:numPr>
          <w:ilvl w:val="0"/>
          <w:numId w:val="3"/>
        </w:numPr>
        <w:jc w:val="both"/>
        <w:rPr>
          <w:rFonts w:ascii="Helvetica" w:hAnsi="Helvetica"/>
          <w:sz w:val="18"/>
          <w:szCs w:val="18"/>
          <w:lang w:val="fr-CH"/>
        </w:rPr>
      </w:pPr>
      <w:r w:rsidRPr="00246DD2">
        <w:rPr>
          <w:rFonts w:ascii="Helvetica" w:hAnsi="Helvetica"/>
          <w:sz w:val="18"/>
          <w:szCs w:val="18"/>
          <w:lang w:val="fr-CH"/>
        </w:rPr>
        <w:t>Doivent tenir une comptabilité et présenter des comptes conformément au présent chapitre:</w:t>
      </w:r>
    </w:p>
    <w:p w:rsidR="00246DD2" w:rsidRDefault="00246DD2" w:rsidP="00B87C5C">
      <w:pPr>
        <w:ind w:left="993" w:hanging="285"/>
        <w:jc w:val="both"/>
        <w:rPr>
          <w:rFonts w:ascii="Helvetica" w:hAnsi="Helvetica"/>
          <w:sz w:val="18"/>
          <w:szCs w:val="18"/>
          <w:lang w:val="fr-CH"/>
        </w:rPr>
      </w:pPr>
      <w:r w:rsidRPr="00246DD2">
        <w:rPr>
          <w:rFonts w:ascii="Helvetica" w:hAnsi="Helvetica"/>
          <w:sz w:val="18"/>
          <w:szCs w:val="18"/>
          <w:lang w:val="fr-CH"/>
        </w:rPr>
        <w:t xml:space="preserve">1. les entreprises individuelles et les sociétés de personnes qui ont réalisé un chiffre d’affaires supérieur à 500 000 francs lors du dernier exercice; </w:t>
      </w:r>
    </w:p>
    <w:p w:rsidR="00246DD2" w:rsidRDefault="00246DD2" w:rsidP="00B87C5C">
      <w:pPr>
        <w:ind w:left="360" w:firstLine="348"/>
        <w:jc w:val="both"/>
        <w:rPr>
          <w:rFonts w:ascii="Helvetica" w:hAnsi="Helvetica"/>
          <w:sz w:val="18"/>
          <w:szCs w:val="18"/>
          <w:lang w:val="fr-CH"/>
        </w:rPr>
      </w:pPr>
      <w:r w:rsidRPr="00246DD2">
        <w:rPr>
          <w:rFonts w:ascii="Helvetica" w:hAnsi="Helvetica"/>
          <w:sz w:val="18"/>
          <w:szCs w:val="18"/>
          <w:lang w:val="fr-CH"/>
        </w:rPr>
        <w:t xml:space="preserve">2. les personnes morales. </w:t>
      </w:r>
    </w:p>
    <w:p w:rsidR="00246DD2" w:rsidRDefault="00246DD2" w:rsidP="00B87C5C">
      <w:pPr>
        <w:ind w:left="360" w:firstLine="348"/>
        <w:jc w:val="both"/>
        <w:rPr>
          <w:rFonts w:ascii="Helvetica" w:hAnsi="Helvetica"/>
          <w:sz w:val="18"/>
          <w:szCs w:val="18"/>
          <w:lang w:val="fr-CH"/>
        </w:rPr>
      </w:pPr>
    </w:p>
    <w:p w:rsidR="00246DD2" w:rsidRDefault="00246DD2" w:rsidP="00B87C5C">
      <w:pPr>
        <w:pStyle w:val="Paragraphedeliste"/>
        <w:numPr>
          <w:ilvl w:val="0"/>
          <w:numId w:val="3"/>
        </w:numPr>
        <w:jc w:val="both"/>
        <w:rPr>
          <w:rFonts w:ascii="Helvetica" w:hAnsi="Helvetica"/>
          <w:sz w:val="18"/>
          <w:szCs w:val="18"/>
          <w:lang w:val="fr-CH"/>
        </w:rPr>
      </w:pPr>
      <w:r w:rsidRPr="00246DD2">
        <w:rPr>
          <w:rFonts w:ascii="Helvetica" w:hAnsi="Helvetica"/>
          <w:sz w:val="18"/>
          <w:szCs w:val="18"/>
          <w:lang w:val="fr-CH"/>
        </w:rPr>
        <w:t xml:space="preserve">Les entreprises suivantes ne tiennent qu’une comptabilité des recettes et des dépenses ainsi que du patrimoine: </w:t>
      </w:r>
    </w:p>
    <w:p w:rsidR="00246DD2" w:rsidRDefault="00246DD2" w:rsidP="00B87C5C">
      <w:pPr>
        <w:pStyle w:val="Paragraphedeliste"/>
        <w:numPr>
          <w:ilvl w:val="0"/>
          <w:numId w:val="4"/>
        </w:numPr>
        <w:ind w:left="993" w:hanging="285"/>
        <w:jc w:val="both"/>
        <w:rPr>
          <w:rFonts w:ascii="Helvetica" w:hAnsi="Helvetica"/>
          <w:sz w:val="18"/>
          <w:szCs w:val="18"/>
          <w:lang w:val="fr-CH"/>
        </w:rPr>
      </w:pPr>
      <w:r w:rsidRPr="00246DD2">
        <w:rPr>
          <w:rFonts w:ascii="Helvetica" w:hAnsi="Helvetica"/>
          <w:sz w:val="18"/>
          <w:szCs w:val="18"/>
          <w:lang w:val="fr-CH"/>
        </w:rPr>
        <w:t xml:space="preserve">les entreprises individuelles et les sociétés de personnes qui ont réalisé un chiffre d’affaires inférieur à 500 000 francs lors du dernier exercice; </w:t>
      </w:r>
    </w:p>
    <w:p w:rsidR="00246DD2" w:rsidRDefault="00246DD2" w:rsidP="00B87C5C">
      <w:pPr>
        <w:pStyle w:val="Paragraphedeliste"/>
        <w:numPr>
          <w:ilvl w:val="0"/>
          <w:numId w:val="4"/>
        </w:numPr>
        <w:ind w:left="993" w:hanging="285"/>
        <w:jc w:val="both"/>
        <w:rPr>
          <w:rFonts w:ascii="Helvetica" w:hAnsi="Helvetica"/>
          <w:sz w:val="18"/>
          <w:szCs w:val="18"/>
          <w:lang w:val="fr-CH"/>
        </w:rPr>
      </w:pPr>
      <w:r w:rsidRPr="00246DD2">
        <w:rPr>
          <w:rFonts w:ascii="Helvetica" w:hAnsi="Helvetica"/>
          <w:sz w:val="18"/>
          <w:szCs w:val="18"/>
          <w:lang w:val="fr-CH"/>
        </w:rPr>
        <w:t xml:space="preserve">les associations et les fondations qui n’ont pas l’obligation de requérir leur inscription au registre du commerce; </w:t>
      </w:r>
    </w:p>
    <w:p w:rsidR="00246DD2" w:rsidRDefault="00246DD2" w:rsidP="00B87C5C">
      <w:pPr>
        <w:pStyle w:val="Paragraphedeliste"/>
        <w:numPr>
          <w:ilvl w:val="0"/>
          <w:numId w:val="4"/>
        </w:numPr>
        <w:ind w:left="993" w:hanging="285"/>
        <w:jc w:val="both"/>
        <w:rPr>
          <w:rFonts w:ascii="Helvetica" w:hAnsi="Helvetica"/>
          <w:sz w:val="18"/>
          <w:szCs w:val="18"/>
          <w:lang w:val="fr-CH"/>
        </w:rPr>
      </w:pPr>
      <w:r w:rsidRPr="00246DD2">
        <w:rPr>
          <w:rFonts w:ascii="Helvetica" w:hAnsi="Helvetica"/>
          <w:sz w:val="18"/>
          <w:szCs w:val="18"/>
          <w:lang w:val="fr-CH"/>
        </w:rPr>
        <w:t xml:space="preserve">les fondations dispensées de l’obligation de désigner un organe de révision en vertu de l’art. 83b, al. 2, CC. </w:t>
      </w:r>
    </w:p>
    <w:p w:rsidR="00246DD2" w:rsidRDefault="00246DD2" w:rsidP="00B87C5C">
      <w:pPr>
        <w:jc w:val="both"/>
        <w:rPr>
          <w:rFonts w:ascii="Helvetica" w:hAnsi="Helvetica"/>
          <w:sz w:val="18"/>
          <w:szCs w:val="18"/>
          <w:lang w:val="fr-CH"/>
        </w:rPr>
      </w:pPr>
    </w:p>
    <w:p w:rsidR="00246DD2" w:rsidRPr="00246DD2" w:rsidRDefault="00246DD2" w:rsidP="00B87C5C">
      <w:pPr>
        <w:jc w:val="both"/>
        <w:rPr>
          <w:rFonts w:ascii="Helvetica" w:hAnsi="Helvetica"/>
          <w:sz w:val="18"/>
          <w:szCs w:val="18"/>
          <w:lang w:val="fr-CH"/>
        </w:rPr>
      </w:pPr>
      <w:r>
        <w:rPr>
          <w:rFonts w:ascii="Helvetica" w:hAnsi="Helvetica"/>
          <w:b/>
          <w:sz w:val="18"/>
          <w:szCs w:val="18"/>
          <w:u w:val="single"/>
          <w:lang w:val="fr-CH"/>
        </w:rPr>
        <w:t>Définition de la comptabilité</w:t>
      </w:r>
      <w:r w:rsidRPr="00246DD2">
        <w:rPr>
          <w:rFonts w:ascii="Helvetica" w:hAnsi="Helvetica"/>
          <w:sz w:val="18"/>
          <w:szCs w:val="18"/>
          <w:lang w:val="fr-CH"/>
        </w:rPr>
        <w:t xml:space="preserve"> (957a</w:t>
      </w:r>
      <w:r>
        <w:rPr>
          <w:rFonts w:ascii="Helvetica" w:hAnsi="Helvetica"/>
          <w:sz w:val="18"/>
          <w:szCs w:val="18"/>
          <w:lang w:val="fr-CH"/>
        </w:rPr>
        <w:t xml:space="preserve"> CO)</w:t>
      </w:r>
    </w:p>
    <w:p w:rsidR="00246DD2" w:rsidRDefault="00246DD2" w:rsidP="00B87C5C">
      <w:pPr>
        <w:pStyle w:val="Paragraphedeliste"/>
        <w:numPr>
          <w:ilvl w:val="0"/>
          <w:numId w:val="5"/>
        </w:numPr>
        <w:jc w:val="both"/>
        <w:rPr>
          <w:rFonts w:ascii="Helvetica" w:hAnsi="Helvetica"/>
          <w:sz w:val="18"/>
          <w:szCs w:val="18"/>
          <w:lang w:val="fr-CH"/>
        </w:rPr>
      </w:pPr>
      <w:r w:rsidRPr="00246DD2">
        <w:rPr>
          <w:rFonts w:ascii="Helvetica" w:hAnsi="Helvetica"/>
          <w:sz w:val="18"/>
          <w:szCs w:val="18"/>
          <w:lang w:val="fr-CH"/>
        </w:rPr>
        <w:t>La comptabilité constitue la base de l’établissement des comptes. Elle enregistre les transactions et les autres faits nécessaires à la présentation du patrimoine, de la situation financière et des résultats de l’entreprise (situation économique).</w:t>
      </w:r>
    </w:p>
    <w:p w:rsidR="00246DD2" w:rsidRDefault="00246DD2" w:rsidP="00B87C5C">
      <w:pPr>
        <w:pStyle w:val="Paragraphedeliste"/>
        <w:numPr>
          <w:ilvl w:val="0"/>
          <w:numId w:val="5"/>
        </w:numPr>
        <w:jc w:val="both"/>
        <w:rPr>
          <w:rFonts w:ascii="Helvetica" w:hAnsi="Helvetica"/>
          <w:sz w:val="18"/>
          <w:szCs w:val="18"/>
          <w:lang w:val="fr-CH"/>
        </w:rPr>
      </w:pPr>
      <w:r w:rsidRPr="00246DD2">
        <w:rPr>
          <w:rFonts w:ascii="Helvetica" w:hAnsi="Helvetica"/>
          <w:sz w:val="18"/>
          <w:szCs w:val="18"/>
          <w:lang w:val="fr-CH"/>
        </w:rPr>
        <w:t xml:space="preserve">La comptabilité est tenue conformément au principe de régularité, qui comprend notamment: </w:t>
      </w:r>
    </w:p>
    <w:p w:rsidR="00246DD2" w:rsidRDefault="00246DD2" w:rsidP="00B87C5C">
      <w:pPr>
        <w:pStyle w:val="Paragraphedeliste"/>
        <w:numPr>
          <w:ilvl w:val="1"/>
          <w:numId w:val="5"/>
        </w:numPr>
        <w:jc w:val="both"/>
        <w:rPr>
          <w:rFonts w:ascii="Helvetica" w:hAnsi="Helvetica"/>
          <w:sz w:val="18"/>
          <w:szCs w:val="18"/>
          <w:lang w:val="fr-CH"/>
        </w:rPr>
      </w:pPr>
      <w:r w:rsidRPr="00246DD2">
        <w:rPr>
          <w:rFonts w:ascii="Helvetica" w:hAnsi="Helvetica"/>
          <w:sz w:val="18"/>
          <w:szCs w:val="18"/>
          <w:lang w:val="fr-CH"/>
        </w:rPr>
        <w:t xml:space="preserve">l’enregistrement intégral, fidèle et systématique des transactions et des autres faits nécessaires au sens de l’al. 1; </w:t>
      </w:r>
    </w:p>
    <w:p w:rsidR="00246DD2" w:rsidRDefault="00246DD2" w:rsidP="00B87C5C">
      <w:pPr>
        <w:pStyle w:val="Paragraphedeliste"/>
        <w:numPr>
          <w:ilvl w:val="1"/>
          <w:numId w:val="5"/>
        </w:numPr>
        <w:jc w:val="both"/>
        <w:rPr>
          <w:rFonts w:ascii="Helvetica" w:hAnsi="Helvetica"/>
          <w:sz w:val="18"/>
          <w:szCs w:val="18"/>
          <w:lang w:val="fr-CH"/>
        </w:rPr>
      </w:pPr>
      <w:r w:rsidRPr="00246DD2">
        <w:rPr>
          <w:rFonts w:ascii="Helvetica" w:hAnsi="Helvetica"/>
          <w:sz w:val="18"/>
          <w:szCs w:val="18"/>
          <w:lang w:val="fr-CH"/>
        </w:rPr>
        <w:t xml:space="preserve">la justification de chaque enregistrement par une pièce comptable; </w:t>
      </w:r>
    </w:p>
    <w:p w:rsidR="00246DD2" w:rsidRDefault="00246DD2" w:rsidP="00B87C5C">
      <w:pPr>
        <w:pStyle w:val="Paragraphedeliste"/>
        <w:numPr>
          <w:ilvl w:val="1"/>
          <w:numId w:val="5"/>
        </w:numPr>
        <w:jc w:val="both"/>
        <w:rPr>
          <w:rFonts w:ascii="Helvetica" w:hAnsi="Helvetica"/>
          <w:sz w:val="18"/>
          <w:szCs w:val="18"/>
          <w:lang w:val="fr-CH"/>
        </w:rPr>
      </w:pPr>
      <w:r w:rsidRPr="00246DD2">
        <w:rPr>
          <w:rFonts w:ascii="Helvetica" w:hAnsi="Helvetica"/>
          <w:sz w:val="18"/>
          <w:szCs w:val="18"/>
          <w:lang w:val="fr-CH"/>
        </w:rPr>
        <w:t>l</w:t>
      </w:r>
      <w:bookmarkStart w:id="0" w:name="_GoBack"/>
      <w:bookmarkEnd w:id="0"/>
      <w:r w:rsidRPr="00246DD2">
        <w:rPr>
          <w:rFonts w:ascii="Helvetica" w:hAnsi="Helvetica"/>
          <w:sz w:val="18"/>
          <w:szCs w:val="18"/>
          <w:lang w:val="fr-CH"/>
        </w:rPr>
        <w:t xml:space="preserve">a clarté; </w:t>
      </w:r>
    </w:p>
    <w:p w:rsidR="00246DD2" w:rsidRDefault="00B87C5C" w:rsidP="00B87C5C">
      <w:pPr>
        <w:pStyle w:val="Paragraphedeliste"/>
        <w:numPr>
          <w:ilvl w:val="1"/>
          <w:numId w:val="5"/>
        </w:numPr>
        <w:jc w:val="both"/>
        <w:rPr>
          <w:rFonts w:ascii="Helvetica" w:hAnsi="Helvetica"/>
          <w:sz w:val="18"/>
          <w:szCs w:val="18"/>
          <w:lang w:val="fr-CH"/>
        </w:rPr>
      </w:pPr>
      <w:r>
        <w:rPr>
          <w:rFonts w:ascii="Helvetica" w:hAnsi="Helvetica"/>
          <w:sz w:val="18"/>
          <w:szCs w:val="18"/>
          <w:lang w:val="fr-CH"/>
        </w:rPr>
        <w:t>l’adaptation</w:t>
      </w:r>
      <w:r w:rsidR="00246DD2">
        <w:rPr>
          <w:rFonts w:ascii="Helvetica" w:hAnsi="Helvetica"/>
          <w:sz w:val="18"/>
          <w:szCs w:val="18"/>
          <w:lang w:val="fr-CH"/>
        </w:rPr>
        <w:t xml:space="preserve"> à la nature et à la taille de l’entreprise</w:t>
      </w:r>
    </w:p>
    <w:p w:rsidR="00246DD2" w:rsidRDefault="00246DD2" w:rsidP="00B87C5C">
      <w:pPr>
        <w:pStyle w:val="Paragraphedeliste"/>
        <w:numPr>
          <w:ilvl w:val="1"/>
          <w:numId w:val="5"/>
        </w:numPr>
        <w:jc w:val="both"/>
        <w:rPr>
          <w:rFonts w:ascii="Helvetica" w:hAnsi="Helvetica"/>
          <w:sz w:val="18"/>
          <w:szCs w:val="18"/>
          <w:lang w:val="fr-CH"/>
        </w:rPr>
      </w:pPr>
      <w:r>
        <w:rPr>
          <w:rFonts w:ascii="Helvetica" w:hAnsi="Helvetica"/>
          <w:sz w:val="18"/>
          <w:szCs w:val="18"/>
          <w:lang w:val="fr-CH"/>
        </w:rPr>
        <w:t>la traçabilité des enregistrements comptables</w:t>
      </w:r>
    </w:p>
    <w:p w:rsidR="00246DD2" w:rsidRDefault="00246DD2" w:rsidP="00B87C5C">
      <w:pPr>
        <w:pStyle w:val="Paragraphedeliste"/>
        <w:numPr>
          <w:ilvl w:val="0"/>
          <w:numId w:val="5"/>
        </w:numPr>
        <w:jc w:val="both"/>
        <w:rPr>
          <w:rFonts w:ascii="Helvetica" w:hAnsi="Helvetica"/>
          <w:sz w:val="18"/>
          <w:szCs w:val="18"/>
          <w:lang w:val="fr-CH"/>
        </w:rPr>
      </w:pPr>
      <w:r>
        <w:rPr>
          <w:rFonts w:ascii="Helvetica" w:hAnsi="Helvetica"/>
          <w:sz w:val="18"/>
          <w:szCs w:val="18"/>
          <w:lang w:val="fr-CH"/>
        </w:rPr>
        <w:t xml:space="preserve">On entend par pièce comptable tout document écrit, établis </w:t>
      </w:r>
      <w:proofErr w:type="spellStart"/>
      <w:r>
        <w:rPr>
          <w:rFonts w:ascii="Helvetica" w:hAnsi="Helvetica"/>
          <w:sz w:val="18"/>
          <w:szCs w:val="18"/>
          <w:lang w:val="fr-CH"/>
        </w:rPr>
        <w:t>ur</w:t>
      </w:r>
      <w:proofErr w:type="spellEnd"/>
      <w:r>
        <w:rPr>
          <w:rFonts w:ascii="Helvetica" w:hAnsi="Helvetica"/>
          <w:sz w:val="18"/>
          <w:szCs w:val="18"/>
          <w:lang w:val="fr-CH"/>
        </w:rPr>
        <w:t xml:space="preserve"> support papier, sur support électronique ou sous toute forme équivalente, qui permet la vérification de la transaction ou du fait qui est l’objet de l’enregistrement. </w:t>
      </w:r>
    </w:p>
    <w:p w:rsidR="00246DD2" w:rsidRPr="00246DD2" w:rsidRDefault="00246DD2" w:rsidP="00B87C5C">
      <w:pPr>
        <w:pStyle w:val="Paragraphedeliste"/>
        <w:numPr>
          <w:ilvl w:val="0"/>
          <w:numId w:val="5"/>
        </w:numPr>
        <w:jc w:val="both"/>
        <w:rPr>
          <w:rFonts w:ascii="Helvetica" w:hAnsi="Helvetica"/>
          <w:sz w:val="18"/>
          <w:szCs w:val="18"/>
          <w:lang w:val="fr-CH"/>
        </w:rPr>
      </w:pPr>
      <w:r w:rsidRPr="00246DD2">
        <w:rPr>
          <w:rFonts w:ascii="Helvetica" w:hAnsi="Helvetica"/>
          <w:sz w:val="18"/>
          <w:szCs w:val="18"/>
          <w:lang w:val="fr-CH"/>
        </w:rPr>
        <w:t xml:space="preserve">La comptabilité est tenue dans la monnaie nationale ou dans la monnaie la plus importante au regard des activités de l’entreprise. </w:t>
      </w:r>
    </w:p>
    <w:p w:rsidR="00246DD2" w:rsidRPr="00246DD2" w:rsidRDefault="00246DD2" w:rsidP="00B87C5C">
      <w:pPr>
        <w:pStyle w:val="Paragraphedeliste"/>
        <w:numPr>
          <w:ilvl w:val="0"/>
          <w:numId w:val="5"/>
        </w:numPr>
        <w:jc w:val="both"/>
        <w:rPr>
          <w:rFonts w:ascii="Helvetica" w:hAnsi="Helvetica"/>
          <w:sz w:val="18"/>
          <w:szCs w:val="18"/>
          <w:lang w:val="fr-CH"/>
        </w:rPr>
      </w:pPr>
      <w:r w:rsidRPr="00246DD2">
        <w:rPr>
          <w:rFonts w:ascii="Helvetica" w:hAnsi="Helvetica"/>
          <w:sz w:val="18"/>
          <w:szCs w:val="18"/>
          <w:lang w:val="fr-CH"/>
        </w:rPr>
        <w:t xml:space="preserve">Elle est tenue dans l’une des langues nationales ou en anglais. Elle peut être établie sur support papier, sur support électronique ou sous toute forme équivalente. </w:t>
      </w:r>
    </w:p>
    <w:p w:rsidR="00246DD2" w:rsidRDefault="00246DD2" w:rsidP="00B87C5C">
      <w:pPr>
        <w:jc w:val="both"/>
        <w:rPr>
          <w:rFonts w:ascii="Helvetica" w:hAnsi="Helvetica"/>
          <w:sz w:val="18"/>
          <w:szCs w:val="18"/>
          <w:lang w:val="fr-CH"/>
        </w:rPr>
      </w:pPr>
    </w:p>
    <w:p w:rsidR="00246DD2" w:rsidRDefault="00246DD2" w:rsidP="00B87C5C">
      <w:pPr>
        <w:jc w:val="both"/>
        <w:rPr>
          <w:rFonts w:ascii="Helvetica" w:hAnsi="Helvetica"/>
          <w:sz w:val="18"/>
          <w:szCs w:val="18"/>
          <w:lang w:val="fr-CH"/>
        </w:rPr>
      </w:pPr>
      <w:r>
        <w:rPr>
          <w:rFonts w:ascii="Helvetica" w:hAnsi="Helvetica"/>
          <w:b/>
          <w:sz w:val="18"/>
          <w:szCs w:val="18"/>
          <w:u w:val="single"/>
          <w:lang w:val="fr-CH"/>
        </w:rPr>
        <w:t>Principes comptables</w:t>
      </w:r>
    </w:p>
    <w:p w:rsidR="00246DD2" w:rsidRDefault="00246DD2" w:rsidP="00B87C5C">
      <w:pPr>
        <w:pStyle w:val="Paragraphedeliste"/>
        <w:numPr>
          <w:ilvl w:val="0"/>
          <w:numId w:val="6"/>
        </w:numPr>
        <w:jc w:val="both"/>
        <w:rPr>
          <w:rFonts w:ascii="Helvetica" w:hAnsi="Helvetica"/>
          <w:sz w:val="18"/>
          <w:szCs w:val="18"/>
          <w:lang w:val="fr-CH"/>
        </w:rPr>
      </w:pPr>
      <w:r>
        <w:rPr>
          <w:rFonts w:ascii="Helvetica" w:hAnsi="Helvetica"/>
          <w:sz w:val="18"/>
          <w:szCs w:val="18"/>
          <w:lang w:val="fr-CH"/>
        </w:rPr>
        <w:t>Poursuite de l’activité (958a CO)</w:t>
      </w:r>
    </w:p>
    <w:p w:rsidR="00246DD2" w:rsidRDefault="00246DD2" w:rsidP="00B87C5C">
      <w:pPr>
        <w:pStyle w:val="Paragraphedeliste"/>
        <w:numPr>
          <w:ilvl w:val="0"/>
          <w:numId w:val="6"/>
        </w:numPr>
        <w:jc w:val="both"/>
        <w:rPr>
          <w:rFonts w:ascii="Helvetica" w:hAnsi="Helvetica"/>
          <w:sz w:val="18"/>
          <w:szCs w:val="18"/>
          <w:lang w:val="fr-CH"/>
        </w:rPr>
      </w:pPr>
      <w:r>
        <w:rPr>
          <w:rFonts w:ascii="Helvetica" w:hAnsi="Helvetica"/>
          <w:sz w:val="18"/>
          <w:szCs w:val="18"/>
          <w:lang w:val="fr-CH"/>
        </w:rPr>
        <w:t>Délimitation périodique (958b CO)</w:t>
      </w:r>
    </w:p>
    <w:p w:rsidR="00246DD2" w:rsidRDefault="00246DD2" w:rsidP="00B87C5C">
      <w:pPr>
        <w:pStyle w:val="Paragraphedeliste"/>
        <w:numPr>
          <w:ilvl w:val="0"/>
          <w:numId w:val="6"/>
        </w:numPr>
        <w:jc w:val="both"/>
        <w:rPr>
          <w:rFonts w:ascii="Helvetica" w:hAnsi="Helvetica"/>
          <w:sz w:val="18"/>
          <w:szCs w:val="18"/>
          <w:lang w:val="fr-CH"/>
        </w:rPr>
      </w:pPr>
      <w:r>
        <w:rPr>
          <w:rFonts w:ascii="Helvetica" w:hAnsi="Helvetica"/>
          <w:sz w:val="18"/>
          <w:szCs w:val="18"/>
          <w:lang w:val="fr-CH"/>
        </w:rPr>
        <w:t>Clarté et d’intelligibilité (958c CO)</w:t>
      </w:r>
    </w:p>
    <w:p w:rsidR="00246DD2" w:rsidRDefault="00246DD2" w:rsidP="00B87C5C">
      <w:pPr>
        <w:pStyle w:val="Paragraphedeliste"/>
        <w:numPr>
          <w:ilvl w:val="0"/>
          <w:numId w:val="6"/>
        </w:numPr>
        <w:jc w:val="both"/>
        <w:rPr>
          <w:rFonts w:ascii="Helvetica" w:hAnsi="Helvetica"/>
          <w:sz w:val="18"/>
          <w:szCs w:val="18"/>
          <w:lang w:val="fr-CH"/>
        </w:rPr>
      </w:pPr>
      <w:r>
        <w:rPr>
          <w:rFonts w:ascii="Helvetica" w:hAnsi="Helvetica"/>
          <w:sz w:val="18"/>
          <w:szCs w:val="18"/>
          <w:lang w:val="fr-CH"/>
        </w:rPr>
        <w:t xml:space="preserve">Intégralité </w:t>
      </w:r>
      <w:r>
        <w:rPr>
          <w:rFonts w:ascii="Helvetica" w:hAnsi="Helvetica"/>
          <w:sz w:val="18"/>
          <w:szCs w:val="18"/>
          <w:lang w:val="fr-CH"/>
        </w:rPr>
        <w:t>(958c CO)</w:t>
      </w:r>
    </w:p>
    <w:p w:rsidR="00246DD2" w:rsidRDefault="00246DD2" w:rsidP="00B87C5C">
      <w:pPr>
        <w:pStyle w:val="Paragraphedeliste"/>
        <w:numPr>
          <w:ilvl w:val="0"/>
          <w:numId w:val="6"/>
        </w:numPr>
        <w:jc w:val="both"/>
        <w:rPr>
          <w:rFonts w:ascii="Helvetica" w:hAnsi="Helvetica"/>
          <w:sz w:val="18"/>
          <w:szCs w:val="18"/>
          <w:lang w:val="fr-CH"/>
        </w:rPr>
      </w:pPr>
      <w:r>
        <w:rPr>
          <w:rFonts w:ascii="Helvetica" w:hAnsi="Helvetica"/>
          <w:sz w:val="18"/>
          <w:szCs w:val="18"/>
          <w:lang w:val="fr-CH"/>
        </w:rPr>
        <w:t xml:space="preserve">Fiabilité </w:t>
      </w:r>
      <w:r>
        <w:rPr>
          <w:rFonts w:ascii="Helvetica" w:hAnsi="Helvetica"/>
          <w:sz w:val="18"/>
          <w:szCs w:val="18"/>
          <w:lang w:val="fr-CH"/>
        </w:rPr>
        <w:t>(958c CO)</w:t>
      </w:r>
    </w:p>
    <w:p w:rsidR="00246DD2" w:rsidRDefault="00246DD2" w:rsidP="00B87C5C">
      <w:pPr>
        <w:pStyle w:val="Paragraphedeliste"/>
        <w:numPr>
          <w:ilvl w:val="0"/>
          <w:numId w:val="6"/>
        </w:numPr>
        <w:jc w:val="both"/>
        <w:rPr>
          <w:rFonts w:ascii="Helvetica" w:hAnsi="Helvetica"/>
          <w:sz w:val="18"/>
          <w:szCs w:val="18"/>
          <w:lang w:val="fr-CH"/>
        </w:rPr>
      </w:pPr>
      <w:r>
        <w:rPr>
          <w:rFonts w:ascii="Helvetica" w:hAnsi="Helvetica"/>
          <w:sz w:val="18"/>
          <w:szCs w:val="18"/>
          <w:lang w:val="fr-CH"/>
        </w:rPr>
        <w:t>Importance relative</w:t>
      </w:r>
      <w:r>
        <w:rPr>
          <w:rFonts w:ascii="Helvetica" w:hAnsi="Helvetica"/>
          <w:sz w:val="18"/>
          <w:szCs w:val="18"/>
          <w:lang w:val="fr-CH"/>
        </w:rPr>
        <w:t>(958c CO)</w:t>
      </w:r>
    </w:p>
    <w:p w:rsidR="00246DD2" w:rsidRDefault="00246DD2" w:rsidP="00B87C5C">
      <w:pPr>
        <w:pStyle w:val="Paragraphedeliste"/>
        <w:numPr>
          <w:ilvl w:val="0"/>
          <w:numId w:val="6"/>
        </w:numPr>
        <w:jc w:val="both"/>
        <w:rPr>
          <w:rFonts w:ascii="Helvetica" w:hAnsi="Helvetica"/>
          <w:sz w:val="18"/>
          <w:szCs w:val="18"/>
          <w:lang w:val="fr-CH"/>
        </w:rPr>
      </w:pPr>
      <w:r>
        <w:rPr>
          <w:rFonts w:ascii="Helvetica" w:hAnsi="Helvetica"/>
          <w:sz w:val="18"/>
          <w:szCs w:val="18"/>
          <w:lang w:val="fr-CH"/>
        </w:rPr>
        <w:t xml:space="preserve">Prudence </w:t>
      </w:r>
      <w:r>
        <w:rPr>
          <w:rFonts w:ascii="Helvetica" w:hAnsi="Helvetica"/>
          <w:sz w:val="18"/>
          <w:szCs w:val="18"/>
          <w:lang w:val="fr-CH"/>
        </w:rPr>
        <w:t>(958c CO)</w:t>
      </w:r>
    </w:p>
    <w:p w:rsidR="00246DD2" w:rsidRDefault="00246DD2" w:rsidP="00B87C5C">
      <w:pPr>
        <w:pStyle w:val="Paragraphedeliste"/>
        <w:numPr>
          <w:ilvl w:val="0"/>
          <w:numId w:val="6"/>
        </w:numPr>
        <w:jc w:val="both"/>
        <w:rPr>
          <w:rFonts w:ascii="Helvetica" w:hAnsi="Helvetica"/>
          <w:sz w:val="18"/>
          <w:szCs w:val="18"/>
          <w:lang w:val="fr-CH"/>
        </w:rPr>
      </w:pPr>
      <w:r>
        <w:rPr>
          <w:rFonts w:ascii="Helvetica" w:hAnsi="Helvetica"/>
          <w:sz w:val="18"/>
          <w:szCs w:val="18"/>
          <w:lang w:val="fr-CH"/>
        </w:rPr>
        <w:t xml:space="preserve">Permanence de la présentation et des méthodes d’évaluation </w:t>
      </w:r>
      <w:r>
        <w:rPr>
          <w:rFonts w:ascii="Helvetica" w:hAnsi="Helvetica"/>
          <w:sz w:val="18"/>
          <w:szCs w:val="18"/>
          <w:lang w:val="fr-CH"/>
        </w:rPr>
        <w:t>(958c CO)</w:t>
      </w:r>
    </w:p>
    <w:p w:rsidR="00246DD2" w:rsidRDefault="00246DD2" w:rsidP="00B87C5C">
      <w:pPr>
        <w:pStyle w:val="Paragraphedeliste"/>
        <w:numPr>
          <w:ilvl w:val="0"/>
          <w:numId w:val="6"/>
        </w:numPr>
        <w:jc w:val="both"/>
        <w:rPr>
          <w:rFonts w:ascii="Helvetica" w:hAnsi="Helvetica"/>
          <w:sz w:val="18"/>
          <w:szCs w:val="18"/>
          <w:lang w:val="fr-CH"/>
        </w:rPr>
      </w:pPr>
      <w:r>
        <w:rPr>
          <w:rFonts w:ascii="Helvetica" w:hAnsi="Helvetica"/>
          <w:sz w:val="18"/>
          <w:szCs w:val="18"/>
          <w:lang w:val="fr-CH"/>
        </w:rPr>
        <w:t xml:space="preserve">Interdiction de compensation entre actifs et passifs ainsi qu’entre charges et produits </w:t>
      </w:r>
      <w:r>
        <w:rPr>
          <w:rFonts w:ascii="Helvetica" w:hAnsi="Helvetica"/>
          <w:sz w:val="18"/>
          <w:szCs w:val="18"/>
          <w:lang w:val="fr-CH"/>
        </w:rPr>
        <w:t>(958c CO)</w:t>
      </w:r>
    </w:p>
    <w:p w:rsidR="00246DD2" w:rsidRDefault="00246DD2" w:rsidP="00B87C5C">
      <w:pPr>
        <w:pStyle w:val="Paragraphedeliste"/>
        <w:numPr>
          <w:ilvl w:val="0"/>
          <w:numId w:val="6"/>
        </w:numPr>
        <w:jc w:val="both"/>
        <w:rPr>
          <w:rFonts w:ascii="Helvetica" w:hAnsi="Helvetica"/>
          <w:sz w:val="18"/>
          <w:szCs w:val="18"/>
          <w:lang w:val="fr-CH"/>
        </w:rPr>
      </w:pPr>
      <w:r>
        <w:rPr>
          <w:rFonts w:ascii="Helvetica" w:hAnsi="Helvetica"/>
          <w:sz w:val="18"/>
          <w:szCs w:val="18"/>
          <w:lang w:val="fr-CH"/>
        </w:rPr>
        <w:t xml:space="preserve">Le montant de chaque poste est justifié par un inventaire ou d’un autre manière. </w:t>
      </w:r>
      <w:r>
        <w:rPr>
          <w:rFonts w:ascii="Helvetica" w:hAnsi="Helvetica"/>
          <w:sz w:val="18"/>
          <w:szCs w:val="18"/>
          <w:lang w:val="fr-CH"/>
        </w:rPr>
        <w:t>(958c CO)</w:t>
      </w:r>
    </w:p>
    <w:p w:rsidR="00246DD2" w:rsidRDefault="00246DD2" w:rsidP="00B87C5C">
      <w:pPr>
        <w:pStyle w:val="Paragraphedeliste"/>
        <w:numPr>
          <w:ilvl w:val="0"/>
          <w:numId w:val="6"/>
        </w:numPr>
        <w:jc w:val="both"/>
        <w:rPr>
          <w:rFonts w:ascii="Helvetica" w:hAnsi="Helvetica"/>
          <w:sz w:val="18"/>
          <w:szCs w:val="18"/>
          <w:lang w:val="fr-CH"/>
        </w:rPr>
      </w:pPr>
      <w:r>
        <w:rPr>
          <w:rFonts w:ascii="Helvetica" w:hAnsi="Helvetica"/>
          <w:sz w:val="18"/>
          <w:szCs w:val="18"/>
          <w:lang w:val="fr-CH"/>
        </w:rPr>
        <w:t xml:space="preserve">Présentation adaptée aux particularités de l’entreprise et de la branche, dans le respect du contenu minimal prévu par la loi. </w:t>
      </w:r>
      <w:r>
        <w:rPr>
          <w:rFonts w:ascii="Helvetica" w:hAnsi="Helvetica"/>
          <w:sz w:val="18"/>
          <w:szCs w:val="18"/>
          <w:lang w:val="fr-CH"/>
        </w:rPr>
        <w:t>(958c CO)</w:t>
      </w:r>
    </w:p>
    <w:p w:rsidR="00246DD2" w:rsidRDefault="00246DD2" w:rsidP="00B87C5C">
      <w:pPr>
        <w:jc w:val="both"/>
        <w:rPr>
          <w:rFonts w:ascii="Helvetica" w:hAnsi="Helvetica"/>
          <w:sz w:val="18"/>
          <w:szCs w:val="18"/>
          <w:lang w:val="fr-CH"/>
        </w:rPr>
      </w:pPr>
    </w:p>
    <w:p w:rsidR="00246DD2" w:rsidRDefault="00246DD2" w:rsidP="00B87C5C">
      <w:pPr>
        <w:jc w:val="both"/>
        <w:rPr>
          <w:rFonts w:ascii="Helvetica" w:hAnsi="Helvetica"/>
          <w:sz w:val="18"/>
          <w:szCs w:val="18"/>
          <w:lang w:val="fr-CH"/>
        </w:rPr>
      </w:pPr>
      <w:r w:rsidRPr="00246DD2">
        <w:rPr>
          <w:rFonts w:ascii="Helvetica" w:hAnsi="Helvetica"/>
          <w:b/>
          <w:sz w:val="18"/>
          <w:szCs w:val="18"/>
          <w:u w:val="single"/>
          <w:lang w:val="fr-CH"/>
        </w:rPr>
        <w:t>Tenue et conservation des livres</w:t>
      </w:r>
      <w:r>
        <w:rPr>
          <w:rFonts w:ascii="Helvetica" w:hAnsi="Helvetica"/>
          <w:sz w:val="18"/>
          <w:szCs w:val="18"/>
          <w:lang w:val="fr-CH"/>
        </w:rPr>
        <w:t xml:space="preserve"> (958f CO)</w:t>
      </w:r>
    </w:p>
    <w:p w:rsidR="00246DD2" w:rsidRDefault="00246DD2" w:rsidP="00B87C5C">
      <w:pPr>
        <w:pStyle w:val="Paragraphedeliste"/>
        <w:numPr>
          <w:ilvl w:val="0"/>
          <w:numId w:val="6"/>
        </w:numPr>
        <w:jc w:val="both"/>
        <w:rPr>
          <w:rFonts w:ascii="Helvetica" w:hAnsi="Helvetica"/>
          <w:sz w:val="18"/>
          <w:szCs w:val="18"/>
          <w:lang w:val="fr-CH"/>
        </w:rPr>
      </w:pPr>
      <w:r w:rsidRPr="00246DD2">
        <w:rPr>
          <w:rFonts w:ascii="Helvetica" w:hAnsi="Helvetica"/>
          <w:sz w:val="18"/>
          <w:szCs w:val="18"/>
          <w:lang w:val="fr-CH"/>
        </w:rPr>
        <w:t xml:space="preserve">Les livres et les pièces comptables ainsi que le rapport de gestion et le rapport de révision sont conservés pendant 10 ans, ce délai court à partir de la fin d’un exercice. </w:t>
      </w:r>
    </w:p>
    <w:p w:rsidR="00246DD2" w:rsidRDefault="00246DD2" w:rsidP="00B87C5C">
      <w:pPr>
        <w:pStyle w:val="Paragraphedeliste"/>
        <w:numPr>
          <w:ilvl w:val="0"/>
          <w:numId w:val="6"/>
        </w:numPr>
        <w:jc w:val="both"/>
        <w:rPr>
          <w:rFonts w:ascii="Helvetica" w:hAnsi="Helvetica"/>
          <w:sz w:val="18"/>
          <w:szCs w:val="18"/>
          <w:lang w:val="fr-CH"/>
        </w:rPr>
      </w:pPr>
      <w:r>
        <w:rPr>
          <w:rFonts w:ascii="Helvetica" w:hAnsi="Helvetica"/>
          <w:sz w:val="18"/>
          <w:szCs w:val="18"/>
          <w:lang w:val="fr-CH"/>
        </w:rPr>
        <w:t xml:space="preserve">Un exemplaire imprimé et signé du rapport de gestion et du rapport de révision sont conservés. </w:t>
      </w:r>
    </w:p>
    <w:p w:rsidR="00246DD2" w:rsidRPr="00246DD2" w:rsidRDefault="00246DD2" w:rsidP="00B87C5C">
      <w:pPr>
        <w:pStyle w:val="Paragraphedeliste"/>
        <w:numPr>
          <w:ilvl w:val="0"/>
          <w:numId w:val="6"/>
        </w:numPr>
        <w:jc w:val="both"/>
        <w:rPr>
          <w:rFonts w:ascii="Helvetica" w:hAnsi="Helvetica"/>
          <w:sz w:val="18"/>
          <w:szCs w:val="18"/>
          <w:lang w:val="fr-CH"/>
        </w:rPr>
      </w:pPr>
      <w:r>
        <w:rPr>
          <w:rFonts w:ascii="Helvetica" w:hAnsi="Helvetica"/>
          <w:sz w:val="18"/>
          <w:szCs w:val="18"/>
          <w:lang w:val="fr-CH"/>
        </w:rPr>
        <w:t>Les livres et les pièces comptables peuvent être conservés sur support papier, sur support électronique ou sous toute forme équivalente, pour autant que le lien avec les transaction</w:t>
      </w:r>
      <w:r w:rsidR="00B87C5C">
        <w:rPr>
          <w:rFonts w:ascii="Helvetica" w:hAnsi="Helvetica"/>
          <w:sz w:val="18"/>
          <w:szCs w:val="18"/>
          <w:lang w:val="fr-CH"/>
        </w:rPr>
        <w:t>s</w:t>
      </w:r>
      <w:r>
        <w:rPr>
          <w:rFonts w:ascii="Helvetica" w:hAnsi="Helvetica"/>
          <w:sz w:val="18"/>
          <w:szCs w:val="18"/>
          <w:lang w:val="fr-CH"/>
        </w:rPr>
        <w:t xml:space="preserve"> et les autres faits sur lesquelles ils portent soit garanti et que leur lecture reste possible en toutes circonstances. </w:t>
      </w:r>
    </w:p>
    <w:sectPr w:rsidR="00246DD2" w:rsidRPr="00246DD2" w:rsidSect="0069625E">
      <w:footerReference w:type="default" r:id="rId7"/>
      <w:pgSz w:w="11900" w:h="16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F07" w:rsidRDefault="00C66F07" w:rsidP="0069625E">
      <w:r>
        <w:separator/>
      </w:r>
    </w:p>
  </w:endnote>
  <w:endnote w:type="continuationSeparator" w:id="0">
    <w:p w:rsidR="00C66F07" w:rsidRDefault="00C66F07" w:rsidP="00696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25E" w:rsidRPr="0069625E" w:rsidRDefault="0069625E">
    <w:pPr>
      <w:pStyle w:val="Pieddepage"/>
      <w:rPr>
        <w:rFonts w:ascii="Helvetica" w:hAnsi="Helvetica"/>
        <w:sz w:val="20"/>
        <w:szCs w:val="20"/>
        <w:lang w:val="fr-CH"/>
      </w:rPr>
    </w:pPr>
    <w:r w:rsidRPr="0069625E">
      <w:rPr>
        <w:rFonts w:ascii="Helvetica" w:hAnsi="Helvetica"/>
        <w:sz w:val="20"/>
        <w:szCs w:val="20"/>
        <w:lang w:val="fr-CH"/>
      </w:rPr>
      <w:t>© Yannick BRAVO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F07" w:rsidRDefault="00C66F07" w:rsidP="0069625E">
      <w:r>
        <w:separator/>
      </w:r>
    </w:p>
  </w:footnote>
  <w:footnote w:type="continuationSeparator" w:id="0">
    <w:p w:rsidR="00C66F07" w:rsidRDefault="00C66F07" w:rsidP="00696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578C7"/>
    <w:multiLevelType w:val="hybridMultilevel"/>
    <w:tmpl w:val="36C2191E"/>
    <w:lvl w:ilvl="0" w:tplc="0E4AACF2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0647F"/>
    <w:multiLevelType w:val="hybridMultilevel"/>
    <w:tmpl w:val="68F0579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417760"/>
    <w:multiLevelType w:val="hybridMultilevel"/>
    <w:tmpl w:val="CFF6B92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02A94"/>
    <w:multiLevelType w:val="hybridMultilevel"/>
    <w:tmpl w:val="E65AA9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B45BD"/>
    <w:multiLevelType w:val="hybridMultilevel"/>
    <w:tmpl w:val="2E76D4D4"/>
    <w:lvl w:ilvl="0" w:tplc="B590ED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11166D5"/>
    <w:multiLevelType w:val="hybridMultilevel"/>
    <w:tmpl w:val="A05A051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41"/>
    <w:rsid w:val="00081F62"/>
    <w:rsid w:val="00197A0B"/>
    <w:rsid w:val="0024131C"/>
    <w:rsid w:val="00246DD2"/>
    <w:rsid w:val="002B32CE"/>
    <w:rsid w:val="00392979"/>
    <w:rsid w:val="003C33F6"/>
    <w:rsid w:val="00694229"/>
    <w:rsid w:val="0069625E"/>
    <w:rsid w:val="007855B7"/>
    <w:rsid w:val="00B87C5C"/>
    <w:rsid w:val="00C66F07"/>
    <w:rsid w:val="00DB5D3D"/>
    <w:rsid w:val="00EB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35E9A6"/>
  <w15:chartTrackingRefBased/>
  <w15:docId w15:val="{22694792-B69A-1D4E-9B62-67091629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7041"/>
    <w:pPr>
      <w:ind w:left="720"/>
      <w:contextualSpacing/>
    </w:pPr>
  </w:style>
  <w:style w:type="table" w:styleId="Grilledutableau">
    <w:name w:val="Table Grid"/>
    <w:basedOn w:val="TableauNormal"/>
    <w:uiPriority w:val="39"/>
    <w:rsid w:val="00EB7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962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9625E"/>
  </w:style>
  <w:style w:type="paragraph" w:styleId="Pieddepage">
    <w:name w:val="footer"/>
    <w:basedOn w:val="Normal"/>
    <w:link w:val="PieddepageCar"/>
    <w:uiPriority w:val="99"/>
    <w:unhideWhenUsed/>
    <w:rsid w:val="006962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96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778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6</cp:revision>
  <cp:lastPrinted>2018-06-12T06:18:00Z</cp:lastPrinted>
  <dcterms:created xsi:type="dcterms:W3CDTF">2018-02-05T19:04:00Z</dcterms:created>
  <dcterms:modified xsi:type="dcterms:W3CDTF">2018-06-12T06:19:00Z</dcterms:modified>
</cp:coreProperties>
</file>