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C1423" w14:textId="77777777" w:rsidR="003431A4" w:rsidRDefault="006A32D9" w:rsidP="006A32D9">
      <w:pPr>
        <w:pBdr>
          <w:top w:val="single" w:sz="4" w:space="10" w:color="auto" w:shadow="1"/>
          <w:left w:val="single" w:sz="4" w:space="4" w:color="auto" w:shadow="1"/>
          <w:bottom w:val="single" w:sz="4" w:space="10" w:color="auto" w:shadow="1"/>
          <w:right w:val="single" w:sz="4" w:space="4" w:color="auto" w:shadow="1"/>
        </w:pBd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Décomptes de salaires / exercices supplémentaires</w:t>
      </w:r>
    </w:p>
    <w:p w14:paraId="07ED4973" w14:textId="77777777" w:rsidR="006A32D9" w:rsidRDefault="006A32D9">
      <w:pPr>
        <w:rPr>
          <w:rFonts w:ascii="Helvetica" w:hAnsi="Helvetica"/>
          <w:sz w:val="22"/>
          <w:szCs w:val="22"/>
          <w:lang w:val="fr-CH"/>
        </w:rPr>
      </w:pPr>
    </w:p>
    <w:p w14:paraId="3527863D" w14:textId="77777777" w:rsidR="006A32D9" w:rsidRDefault="006A32D9">
      <w:pPr>
        <w:rPr>
          <w:rFonts w:ascii="Helvetica" w:hAnsi="Helvetica"/>
          <w:i/>
          <w:sz w:val="22"/>
          <w:szCs w:val="22"/>
          <w:lang w:val="fr-CH"/>
        </w:rPr>
      </w:pPr>
      <w:r>
        <w:rPr>
          <w:rFonts w:ascii="Helvetica" w:hAnsi="Helvetica"/>
          <w:i/>
          <w:sz w:val="22"/>
          <w:szCs w:val="22"/>
          <w:lang w:val="fr-CH"/>
        </w:rPr>
        <w:t>Pour les employées et employés suivants, établir les décomptes de salaire du mois de mars 201</w:t>
      </w:r>
      <w:r w:rsidR="00542753">
        <w:rPr>
          <w:rFonts w:ascii="Helvetica" w:hAnsi="Helvetica"/>
          <w:i/>
          <w:sz w:val="22"/>
          <w:szCs w:val="22"/>
          <w:lang w:val="fr-CH"/>
        </w:rPr>
        <w:t>9</w:t>
      </w:r>
      <w:r>
        <w:rPr>
          <w:rFonts w:ascii="Helvetica" w:hAnsi="Helvetica"/>
          <w:i/>
          <w:sz w:val="22"/>
          <w:szCs w:val="22"/>
          <w:lang w:val="fr-CH"/>
        </w:rPr>
        <w:t>. La caisse de pension doit être ignorée. Les taux suivants, en vigueur en 201</w:t>
      </w:r>
      <w:r w:rsidR="00542753">
        <w:rPr>
          <w:rFonts w:ascii="Helvetica" w:hAnsi="Helvetica"/>
          <w:i/>
          <w:sz w:val="22"/>
          <w:szCs w:val="22"/>
          <w:lang w:val="fr-CH"/>
        </w:rPr>
        <w:t>9</w:t>
      </w:r>
      <w:r>
        <w:rPr>
          <w:rFonts w:ascii="Helvetica" w:hAnsi="Helvetica"/>
          <w:i/>
          <w:sz w:val="22"/>
          <w:szCs w:val="22"/>
          <w:lang w:val="fr-CH"/>
        </w:rPr>
        <w:t xml:space="preserve">, doivent être utilisés. </w:t>
      </w:r>
    </w:p>
    <w:p w14:paraId="4855943F" w14:textId="77777777" w:rsidR="006A32D9" w:rsidRDefault="006A32D9">
      <w:pPr>
        <w:rPr>
          <w:rFonts w:ascii="Helvetica" w:hAnsi="Helvetica"/>
          <w:i/>
          <w:sz w:val="22"/>
          <w:szCs w:val="22"/>
          <w:lang w:val="fr-CH"/>
        </w:rPr>
      </w:pPr>
    </w:p>
    <w:p w14:paraId="162516AC" w14:textId="77777777" w:rsidR="006A32D9" w:rsidRDefault="006A32D9" w:rsidP="006A32D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center" w:pos="1418"/>
          <w:tab w:val="center" w:pos="1843"/>
          <w:tab w:val="center" w:pos="5103"/>
          <w:tab w:val="center" w:pos="5954"/>
        </w:tabs>
        <w:rPr>
          <w:rFonts w:ascii="Helvetica" w:hAnsi="Helvetica"/>
          <w:i/>
          <w:sz w:val="22"/>
          <w:szCs w:val="22"/>
          <w:lang w:val="fr-CH"/>
        </w:rPr>
      </w:pPr>
      <w:r>
        <w:rPr>
          <w:rFonts w:ascii="Helvetica" w:hAnsi="Helvetica"/>
          <w:i/>
          <w:sz w:val="22"/>
          <w:szCs w:val="22"/>
          <w:lang w:val="fr-CH"/>
        </w:rPr>
        <w:t>AVS/AI/APG</w:t>
      </w:r>
      <w:r>
        <w:rPr>
          <w:rFonts w:ascii="Helvetica" w:hAnsi="Helvetica"/>
          <w:i/>
          <w:sz w:val="22"/>
          <w:szCs w:val="22"/>
          <w:lang w:val="fr-CH"/>
        </w:rPr>
        <w:tab/>
        <w:t>:</w:t>
      </w:r>
      <w:r>
        <w:rPr>
          <w:rFonts w:ascii="Helvetica" w:hAnsi="Helvetica"/>
          <w:i/>
          <w:sz w:val="22"/>
          <w:szCs w:val="22"/>
          <w:lang w:val="fr-CH"/>
        </w:rPr>
        <w:tab/>
        <w:t>5.125% (part employé)</w:t>
      </w:r>
      <w:r>
        <w:rPr>
          <w:rFonts w:ascii="Helvetica" w:hAnsi="Helvetica"/>
          <w:i/>
          <w:sz w:val="22"/>
          <w:szCs w:val="22"/>
          <w:lang w:val="fr-CH"/>
        </w:rPr>
        <w:tab/>
        <w:t>AC (total)</w:t>
      </w:r>
      <w:r>
        <w:rPr>
          <w:rFonts w:ascii="Helvetica" w:hAnsi="Helvetica"/>
          <w:i/>
          <w:sz w:val="22"/>
          <w:szCs w:val="22"/>
          <w:lang w:val="fr-CH"/>
        </w:rPr>
        <w:tab/>
        <w:t>:</w:t>
      </w:r>
      <w:r>
        <w:rPr>
          <w:rFonts w:ascii="Helvetica" w:hAnsi="Helvetica"/>
          <w:i/>
          <w:sz w:val="22"/>
          <w:szCs w:val="22"/>
          <w:lang w:val="fr-CH"/>
        </w:rPr>
        <w:tab/>
        <w:t>2.2% (AC1) – 1% (AC2)</w:t>
      </w:r>
    </w:p>
    <w:p w14:paraId="27E37989" w14:textId="77777777" w:rsidR="006A32D9" w:rsidRPr="00542753" w:rsidRDefault="006A32D9" w:rsidP="006A32D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center" w:pos="1418"/>
          <w:tab w:val="center" w:pos="1843"/>
          <w:tab w:val="center" w:pos="5103"/>
          <w:tab w:val="center" w:pos="5954"/>
        </w:tabs>
        <w:rPr>
          <w:rFonts w:ascii="Helvetica" w:hAnsi="Helvetica"/>
          <w:i/>
          <w:sz w:val="22"/>
          <w:szCs w:val="22"/>
          <w:lang w:val="en-US"/>
        </w:rPr>
      </w:pPr>
      <w:r w:rsidRPr="00542753">
        <w:rPr>
          <w:rFonts w:ascii="Helvetica" w:hAnsi="Helvetica"/>
          <w:i/>
          <w:sz w:val="22"/>
          <w:szCs w:val="22"/>
          <w:lang w:val="en-US"/>
        </w:rPr>
        <w:t>AA</w:t>
      </w:r>
      <w:r w:rsidRPr="00542753">
        <w:rPr>
          <w:rFonts w:ascii="Helvetica" w:hAnsi="Helvetica"/>
          <w:i/>
          <w:sz w:val="22"/>
          <w:szCs w:val="22"/>
          <w:lang w:val="en-US"/>
        </w:rPr>
        <w:tab/>
        <w:t>:</w:t>
      </w:r>
      <w:r w:rsidRPr="00542753">
        <w:rPr>
          <w:rFonts w:ascii="Helvetica" w:hAnsi="Helvetica"/>
          <w:i/>
          <w:sz w:val="22"/>
          <w:szCs w:val="22"/>
          <w:lang w:val="en-US"/>
        </w:rPr>
        <w:tab/>
        <w:t>1.2% (AP) – 1.5% (ANP)</w:t>
      </w:r>
      <w:r w:rsidRPr="00542753">
        <w:rPr>
          <w:rFonts w:ascii="Helvetica" w:hAnsi="Helvetica"/>
          <w:i/>
          <w:sz w:val="22"/>
          <w:szCs w:val="22"/>
          <w:lang w:val="en-US"/>
        </w:rPr>
        <w:tab/>
      </w:r>
      <w:proofErr w:type="spellStart"/>
      <w:r w:rsidRPr="00542753">
        <w:rPr>
          <w:rFonts w:ascii="Helvetica" w:hAnsi="Helvetica"/>
          <w:i/>
          <w:sz w:val="22"/>
          <w:szCs w:val="22"/>
          <w:lang w:val="en-US"/>
        </w:rPr>
        <w:t>Amat</w:t>
      </w:r>
      <w:proofErr w:type="spellEnd"/>
      <w:r w:rsidRPr="00542753">
        <w:rPr>
          <w:rFonts w:ascii="Helvetica" w:hAnsi="Helvetica"/>
          <w:i/>
          <w:sz w:val="22"/>
          <w:szCs w:val="22"/>
          <w:lang w:val="en-US"/>
        </w:rPr>
        <w:tab/>
        <w:t>:</w:t>
      </w:r>
      <w:r w:rsidRPr="00542753">
        <w:rPr>
          <w:rFonts w:ascii="Helvetica" w:hAnsi="Helvetica"/>
          <w:i/>
          <w:sz w:val="22"/>
          <w:szCs w:val="22"/>
          <w:lang w:val="en-US"/>
        </w:rPr>
        <w:tab/>
        <w:t xml:space="preserve">0.092% (total) </w:t>
      </w:r>
    </w:p>
    <w:p w14:paraId="5CBA4752" w14:textId="77777777" w:rsidR="006A32D9" w:rsidRPr="00542753" w:rsidRDefault="006A32D9">
      <w:pPr>
        <w:rPr>
          <w:rFonts w:ascii="Helvetica" w:hAnsi="Helvetica"/>
          <w:i/>
          <w:sz w:val="22"/>
          <w:szCs w:val="22"/>
          <w:lang w:val="en-US"/>
        </w:rPr>
      </w:pPr>
    </w:p>
    <w:p w14:paraId="714F0AB9" w14:textId="77777777" w:rsidR="006A32D9" w:rsidRPr="006A32D9" w:rsidRDefault="006A32D9" w:rsidP="001838FB">
      <w:pPr>
        <w:jc w:val="both"/>
        <w:rPr>
          <w:rFonts w:ascii="Helvetica" w:hAnsi="Helvetica"/>
          <w:b/>
          <w:sz w:val="22"/>
          <w:szCs w:val="22"/>
          <w:u w:val="single"/>
          <w:lang w:val="fr-CH"/>
        </w:rPr>
      </w:pPr>
      <w:r w:rsidRPr="006A32D9">
        <w:rPr>
          <w:rFonts w:ascii="Helvetica" w:hAnsi="Helvetica"/>
          <w:b/>
          <w:sz w:val="22"/>
          <w:szCs w:val="22"/>
          <w:u w:val="single"/>
          <w:lang w:val="fr-CH"/>
        </w:rPr>
        <w:t>Jean-Charles FIFONT</w:t>
      </w:r>
    </w:p>
    <w:p w14:paraId="005B57AB" w14:textId="77777777" w:rsid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Salaire mensuel de CHF 6'000.- (brut). Prendre en compte un bonus de CHF 1'000.-, et des remboursements de frais forfaitaires pour CHF 600.-</w:t>
      </w:r>
    </w:p>
    <w:p w14:paraId="4B3EE35B" w14:textId="77777777" w:rsid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</w:p>
    <w:p w14:paraId="46A508A7" w14:textId="77777777" w:rsidR="006A32D9" w:rsidRPr="006A32D9" w:rsidRDefault="006A32D9" w:rsidP="001838FB">
      <w:pPr>
        <w:jc w:val="both"/>
        <w:rPr>
          <w:rFonts w:ascii="Helvetica" w:hAnsi="Helvetica"/>
          <w:b/>
          <w:sz w:val="22"/>
          <w:szCs w:val="22"/>
          <w:u w:val="single"/>
          <w:lang w:val="fr-CH"/>
        </w:rPr>
      </w:pPr>
      <w:r w:rsidRPr="006A32D9">
        <w:rPr>
          <w:rFonts w:ascii="Helvetica" w:hAnsi="Helvetica"/>
          <w:b/>
          <w:sz w:val="22"/>
          <w:szCs w:val="22"/>
          <w:u w:val="single"/>
          <w:lang w:val="fr-CH"/>
        </w:rPr>
        <w:t>Marguerite DUPUIS</w:t>
      </w:r>
    </w:p>
    <w:p w14:paraId="4449DACA" w14:textId="77777777" w:rsid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Salaire mensuel de CHF 12'000.- et une prime d’ancienneté, versée chaque mois, de CHF 500.-. Mme Dupuis reçois des allocations familiales</w:t>
      </w:r>
      <w:r w:rsidR="00107AB1">
        <w:rPr>
          <w:rFonts w:ascii="Helvetica" w:hAnsi="Helvetica"/>
          <w:sz w:val="22"/>
          <w:szCs w:val="22"/>
          <w:lang w:val="fr-CH"/>
        </w:rPr>
        <w:t xml:space="preserve"> pour CHF 900 par mois, et une retenue sur salaire de CHF 400.- est déduite chaque mois de son salaire. </w:t>
      </w:r>
    </w:p>
    <w:p w14:paraId="605B5557" w14:textId="77777777" w:rsid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</w:p>
    <w:p w14:paraId="2AE5E244" w14:textId="77777777" w:rsidR="006A32D9" w:rsidRPr="006A32D9" w:rsidRDefault="006A32D9" w:rsidP="001838FB">
      <w:pPr>
        <w:jc w:val="both"/>
        <w:rPr>
          <w:rFonts w:ascii="Helvetica" w:hAnsi="Helvetica"/>
          <w:b/>
          <w:sz w:val="22"/>
          <w:szCs w:val="22"/>
          <w:u w:val="single"/>
          <w:lang w:val="fr-CH"/>
        </w:rPr>
      </w:pPr>
      <w:r w:rsidRPr="006A32D9">
        <w:rPr>
          <w:rFonts w:ascii="Helvetica" w:hAnsi="Helvetica"/>
          <w:b/>
          <w:sz w:val="22"/>
          <w:szCs w:val="22"/>
          <w:u w:val="single"/>
          <w:lang w:val="fr-CH"/>
        </w:rPr>
        <w:t>Marc MILNIATTI</w:t>
      </w:r>
    </w:p>
    <w:p w14:paraId="5026279D" w14:textId="77777777" w:rsidR="006A32D9" w:rsidRDefault="001838FB" w:rsidP="001838FB">
      <w:pPr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>Marc MILNIATTI a un salaire de CHF 40.- par heure, il a travaillé pour 130 heures durant le mois de mars. Son salaire est augmenté chaque mois de 10% durant l’année 2018 car il célèbre 20 ans d’ancienneté. Des allocations familiales lui sont payées pour CHF 600.- par mois.</w:t>
      </w:r>
    </w:p>
    <w:p w14:paraId="62CA94DD" w14:textId="77777777" w:rsid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</w:p>
    <w:p w14:paraId="10BDD288" w14:textId="77777777" w:rsidR="006A32D9" w:rsidRPr="006A32D9" w:rsidRDefault="006A32D9" w:rsidP="001838FB">
      <w:pPr>
        <w:jc w:val="both"/>
        <w:rPr>
          <w:rFonts w:ascii="Helvetica" w:hAnsi="Helvetica"/>
          <w:b/>
          <w:sz w:val="22"/>
          <w:szCs w:val="22"/>
          <w:u w:val="single"/>
          <w:lang w:val="fr-CH"/>
        </w:rPr>
      </w:pPr>
      <w:r w:rsidRPr="006A32D9">
        <w:rPr>
          <w:rFonts w:ascii="Helvetica" w:hAnsi="Helvetica"/>
          <w:b/>
          <w:sz w:val="22"/>
          <w:szCs w:val="22"/>
          <w:u w:val="single"/>
          <w:lang w:val="fr-CH"/>
        </w:rPr>
        <w:t>Adèle PARENGO</w:t>
      </w:r>
    </w:p>
    <w:p w14:paraId="5D4262A0" w14:textId="77777777" w:rsidR="006A32D9" w:rsidRDefault="001838FB" w:rsidP="001838FB">
      <w:pPr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Adèle est payée au départ CHF 20'000.- par mois. Des frais forfaitaires lui sont payés chaque mois pour CHF 2'000.-. </w:t>
      </w:r>
    </w:p>
    <w:p w14:paraId="56CE8F4E" w14:textId="77777777" w:rsid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</w:p>
    <w:p w14:paraId="4D5C94DA" w14:textId="77777777" w:rsidR="006A32D9" w:rsidRPr="006A32D9" w:rsidRDefault="006A32D9" w:rsidP="001838FB">
      <w:pPr>
        <w:jc w:val="both"/>
        <w:rPr>
          <w:rFonts w:ascii="Helvetica" w:hAnsi="Helvetica"/>
          <w:b/>
          <w:sz w:val="22"/>
          <w:szCs w:val="22"/>
          <w:u w:val="single"/>
          <w:lang w:val="fr-CH"/>
        </w:rPr>
      </w:pPr>
      <w:r w:rsidRPr="006A32D9">
        <w:rPr>
          <w:rFonts w:ascii="Helvetica" w:hAnsi="Helvetica"/>
          <w:b/>
          <w:sz w:val="22"/>
          <w:szCs w:val="22"/>
          <w:u w:val="single"/>
          <w:lang w:val="fr-CH"/>
        </w:rPr>
        <w:t>Jocelyne PRESLEY</w:t>
      </w:r>
    </w:p>
    <w:p w14:paraId="73C75026" w14:textId="77777777" w:rsidR="001838FB" w:rsidRDefault="001838FB" w:rsidP="001838FB">
      <w:pPr>
        <w:jc w:val="both"/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Salaire de CHF 10'000.- par mois. Un bonus spécial de CHF 2350.- lui est accordé. Elle reçoit des allocations familiales pour CHF 300.- par enfant (4 enfants) et des frais forfaitaires lui sont payés en supplément pour CHF 1'000.- par mois. </w:t>
      </w:r>
    </w:p>
    <w:p w14:paraId="405AC3A8" w14:textId="77777777" w:rsidR="001838FB" w:rsidRDefault="001838FB">
      <w:p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br w:type="page"/>
      </w: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  <w:gridCol w:w="1860"/>
      </w:tblGrid>
      <w:tr w:rsidR="00175344" w:rsidRPr="001838FB" w14:paraId="64AE5208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0D5A0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53E9" w14:textId="77777777" w:rsidR="00175344" w:rsidRDefault="00175344" w:rsidP="00175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Fifont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E3FE" w14:textId="77777777" w:rsidR="00175344" w:rsidRDefault="00175344" w:rsidP="00175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Dupuis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52A7" w14:textId="77777777" w:rsidR="00175344" w:rsidRDefault="00175344" w:rsidP="00175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Milniatti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A02B" w14:textId="77777777" w:rsidR="00175344" w:rsidRDefault="00175344" w:rsidP="00175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Parengo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60BE" w14:textId="77777777" w:rsidR="00175344" w:rsidRDefault="00175344" w:rsidP="00175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Presley</w:t>
            </w:r>
          </w:p>
        </w:tc>
      </w:tr>
      <w:tr w:rsidR="00175344" w:rsidRPr="001838FB" w14:paraId="178D06CC" w14:textId="77777777" w:rsidTr="001838FB">
        <w:trPr>
          <w:trHeight w:val="44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8DE43C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Salaire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97C7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6 000.00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A02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12 000.00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09E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5 200.00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C7FF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20 000.00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5CC0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10 000.00      </w:t>
            </w:r>
          </w:p>
        </w:tc>
      </w:tr>
      <w:tr w:rsidR="00175344" w:rsidRPr="001838FB" w14:paraId="05AA7EB8" w14:textId="77777777" w:rsidTr="001838FB">
        <w:trPr>
          <w:trHeight w:val="4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A79CF" w14:textId="77777777" w:rsidR="00175344" w:rsidRPr="001838FB" w:rsidRDefault="00175344" w:rsidP="00175344">
            <w:pPr>
              <w:rPr>
                <w:rFonts w:ascii="Calibri" w:eastAsia="Times New Roman" w:hAnsi="Calibri" w:cs="Calibri"/>
                <w:b/>
                <w:bCs/>
                <w:color w:val="000000"/>
                <w:lang w:val="fr-CH"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A86D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D6092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AE5C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520.00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D9C9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6D01C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2 350.00      </w:t>
            </w:r>
          </w:p>
        </w:tc>
      </w:tr>
      <w:tr w:rsidR="00175344" w:rsidRPr="001838FB" w14:paraId="38714C63" w14:textId="77777777" w:rsidTr="001838FB">
        <w:trPr>
          <w:trHeight w:val="4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0353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Salaire brut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886FB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7 000.00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2086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12 500.00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B09D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5 720.00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3B4B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20 000.00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984B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12 350.00      </w:t>
            </w:r>
          </w:p>
        </w:tc>
      </w:tr>
      <w:tr w:rsidR="00175344" w:rsidRPr="001838FB" w14:paraId="7C0FFA7F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C5551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1FF16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3AFCE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C503F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F55A1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EC0A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75344" w:rsidRPr="001838FB" w14:paraId="24BC413C" w14:textId="77777777" w:rsidTr="001838FB">
        <w:trPr>
          <w:trHeight w:val="4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C331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Déductions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1D563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425B6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77C94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FBDB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BBFA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75344" w:rsidRPr="001838FB" w14:paraId="6AE505EC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6559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AVS-AI-APG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FD46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358.75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1629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640.65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F16D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293.15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88F6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1 025.00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71F36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632.95      </w:t>
            </w:r>
          </w:p>
        </w:tc>
      </w:tr>
      <w:tr w:rsidR="00175344" w:rsidRPr="001838FB" w14:paraId="0B6E3709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2E7C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3FB5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77.00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FBEA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135.85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0ED5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62.90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DE84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135.85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3F53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135.85      </w:t>
            </w:r>
          </w:p>
        </w:tc>
      </w:tr>
      <w:tr w:rsidR="00175344" w:rsidRPr="001838FB" w14:paraId="4110C3F0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0C9E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D3A6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-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87BB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0.75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F783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-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1299E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38.25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61C0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-        </w:t>
            </w:r>
          </w:p>
        </w:tc>
      </w:tr>
      <w:tr w:rsidR="00175344" w:rsidRPr="001838FB" w14:paraId="28A84943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A914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AANP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3B69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105.00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E822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185.25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5B02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85.80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42E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185.25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7653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185.25      </w:t>
            </w:r>
          </w:p>
        </w:tc>
      </w:tr>
      <w:tr w:rsidR="00175344" w:rsidRPr="001838FB" w14:paraId="6EA3D174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F5399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00A0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3.20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F77C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5.75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FF2D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2.65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44DA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9.20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416E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5.70      </w:t>
            </w:r>
          </w:p>
        </w:tc>
      </w:tr>
      <w:tr w:rsidR="00175344" w:rsidRPr="001838FB" w14:paraId="0EF7076D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4DB2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déduc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7790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543.95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973F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968.25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0DC0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444.50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4BA0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1 393.55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20E7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959.75      </w:t>
            </w:r>
          </w:p>
        </w:tc>
      </w:tr>
      <w:tr w:rsidR="00175344" w:rsidRPr="001838FB" w14:paraId="5C30BD28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9B5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420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F631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65BA4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7200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5886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75344" w:rsidRPr="001838FB" w14:paraId="250FADCE" w14:textId="77777777" w:rsidTr="001838FB">
        <w:trPr>
          <w:trHeight w:val="44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D59560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Autres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68A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600.00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B445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900.00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A09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600.00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C5DA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2 000.00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25D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1 200.00      </w:t>
            </w:r>
          </w:p>
        </w:tc>
      </w:tr>
      <w:tr w:rsidR="00175344" w:rsidRPr="001838FB" w14:paraId="1FAAB904" w14:textId="77777777" w:rsidTr="001838FB">
        <w:trPr>
          <w:trHeight w:val="44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B859C" w14:textId="77777777" w:rsidR="00175344" w:rsidRPr="001838FB" w:rsidRDefault="00175344" w:rsidP="00175344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fr-CH"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A058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0E4F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(400.00)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CB55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B6587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CA61" w14:textId="77777777" w:rsidR="00175344" w:rsidRPr="001838FB" w:rsidRDefault="00175344" w:rsidP="00175344">
            <w:pPr>
              <w:rPr>
                <w:rFonts w:ascii="Calibri" w:eastAsia="Times New Roman" w:hAnsi="Calibri" w:cs="Calibri"/>
                <w:color w:val="000000"/>
                <w:lang w:val="fr-CH"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1 000.00      </w:t>
            </w:r>
          </w:p>
        </w:tc>
      </w:tr>
      <w:tr w:rsidR="00175344" w:rsidRPr="001838FB" w14:paraId="2EE7C36E" w14:textId="77777777" w:rsidTr="001838FB">
        <w:trPr>
          <w:trHeight w:val="4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96C2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autres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752E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600.00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4459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500.00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CD9F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600.00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0496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2 000.00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AE54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2 200.00      </w:t>
            </w:r>
          </w:p>
        </w:tc>
      </w:tr>
      <w:tr w:rsidR="00175344" w:rsidRPr="001838FB" w14:paraId="2E9DBE31" w14:textId="77777777" w:rsidTr="001838FB">
        <w:trPr>
          <w:trHeight w:val="4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10A1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7B6C6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8BF2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775D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0A51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B5F8" w14:textId="77777777" w:rsidR="00175344" w:rsidRDefault="00175344" w:rsidP="001753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75344" w:rsidRPr="001838FB" w14:paraId="3E45224D" w14:textId="77777777" w:rsidTr="001838FB">
        <w:trPr>
          <w:trHeight w:val="44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2222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 à payer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655E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7 056.05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9A18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12 031.75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677B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5 875.50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AE93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20 606.45     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5E2" w14:textId="77777777" w:rsidR="00175344" w:rsidRDefault="00175344" w:rsidP="0017534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13 590.25      </w:t>
            </w:r>
          </w:p>
        </w:tc>
      </w:tr>
    </w:tbl>
    <w:p w14:paraId="7D41BFE8" w14:textId="77777777" w:rsidR="006A32D9" w:rsidRPr="006A32D9" w:rsidRDefault="006A32D9" w:rsidP="001838FB">
      <w:pPr>
        <w:jc w:val="both"/>
        <w:rPr>
          <w:rFonts w:ascii="Helvetica" w:hAnsi="Helvetica"/>
          <w:sz w:val="22"/>
          <w:szCs w:val="22"/>
          <w:lang w:val="fr-CH"/>
        </w:rPr>
      </w:pPr>
    </w:p>
    <w:sectPr w:rsidR="006A32D9" w:rsidRPr="006A32D9" w:rsidSect="001838FB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2018" w14:textId="77777777" w:rsidR="00A01207" w:rsidRDefault="00A01207" w:rsidP="006A32D9">
      <w:r>
        <w:separator/>
      </w:r>
    </w:p>
  </w:endnote>
  <w:endnote w:type="continuationSeparator" w:id="0">
    <w:p w14:paraId="6F03FF88" w14:textId="77777777" w:rsidR="00A01207" w:rsidRDefault="00A01207" w:rsidP="006A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229D" w14:textId="77777777" w:rsidR="00A01207" w:rsidRDefault="00A01207" w:rsidP="006A32D9">
      <w:r>
        <w:separator/>
      </w:r>
    </w:p>
  </w:footnote>
  <w:footnote w:type="continuationSeparator" w:id="0">
    <w:p w14:paraId="338EF615" w14:textId="77777777" w:rsidR="00A01207" w:rsidRDefault="00A01207" w:rsidP="006A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C049" w14:textId="77777777" w:rsidR="006A32D9" w:rsidRDefault="006A32D9">
    <w:pPr>
      <w:pStyle w:val="En-tte"/>
    </w:pPr>
    <w:r>
      <w:tab/>
    </w:r>
    <w:r>
      <w:tab/>
      <w:t>PAIE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D9"/>
    <w:rsid w:val="00081F62"/>
    <w:rsid w:val="00107AB1"/>
    <w:rsid w:val="00175344"/>
    <w:rsid w:val="001838FB"/>
    <w:rsid w:val="00197A0B"/>
    <w:rsid w:val="003C33F6"/>
    <w:rsid w:val="00465F90"/>
    <w:rsid w:val="00542753"/>
    <w:rsid w:val="005B41F6"/>
    <w:rsid w:val="00694229"/>
    <w:rsid w:val="006A32D9"/>
    <w:rsid w:val="007855B7"/>
    <w:rsid w:val="00A01207"/>
    <w:rsid w:val="00B84FCD"/>
    <w:rsid w:val="00E33596"/>
    <w:rsid w:val="00E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4D3B60"/>
  <w15:chartTrackingRefBased/>
  <w15:docId w15:val="{0AE59F4C-8DBD-0B49-8CE3-D698F7FF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2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2D9"/>
  </w:style>
  <w:style w:type="paragraph" w:styleId="Pieddepage">
    <w:name w:val="footer"/>
    <w:basedOn w:val="Normal"/>
    <w:link w:val="PieddepageCar"/>
    <w:uiPriority w:val="99"/>
    <w:unhideWhenUsed/>
    <w:rsid w:val="006A32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2021-03-16T18:29:00Z</dcterms:created>
  <dcterms:modified xsi:type="dcterms:W3CDTF">2021-03-16T18:29:00Z</dcterms:modified>
</cp:coreProperties>
</file>