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392979" w:rsidRDefault="0069625E" w:rsidP="0024131C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tabs>
          <w:tab w:val="right" w:pos="9065"/>
        </w:tabs>
        <w:spacing w:before="200" w:after="200"/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Exercice p</w:t>
      </w:r>
      <w:r w:rsidR="00EB7041" w:rsidRPr="00392979">
        <w:rPr>
          <w:rFonts w:ascii="Helvetica" w:hAnsi="Helvetica"/>
          <w:sz w:val="18"/>
          <w:szCs w:val="18"/>
          <w:lang w:val="fr-CH"/>
        </w:rPr>
        <w:t>lan comptable</w:t>
      </w:r>
      <w:r>
        <w:rPr>
          <w:rFonts w:ascii="Helvetica" w:hAnsi="Helvetica"/>
          <w:sz w:val="18"/>
          <w:szCs w:val="18"/>
          <w:lang w:val="fr-CH"/>
        </w:rPr>
        <w:t xml:space="preserve"> minimum</w:t>
      </w:r>
      <w:r w:rsidR="0024131C">
        <w:rPr>
          <w:rFonts w:ascii="Helvetica" w:hAnsi="Helvetica"/>
          <w:sz w:val="18"/>
          <w:szCs w:val="18"/>
          <w:lang w:val="fr-CH"/>
        </w:rPr>
        <w:tab/>
        <w:t>PLAN</w:t>
      </w:r>
    </w:p>
    <w:p w:rsidR="0069625E" w:rsidRPr="0069625E" w:rsidRDefault="0069625E" w:rsidP="0069625E">
      <w:pPr>
        <w:jc w:val="both"/>
        <w:rPr>
          <w:rFonts w:ascii="Helvetica" w:hAnsi="Helvetica"/>
          <w:i/>
          <w:sz w:val="18"/>
          <w:szCs w:val="18"/>
          <w:lang w:val="fr-CH"/>
        </w:rPr>
      </w:pPr>
      <w:r w:rsidRPr="0069625E">
        <w:rPr>
          <w:rFonts w:ascii="Helvetica" w:hAnsi="Helvetica"/>
          <w:i/>
          <w:sz w:val="18"/>
          <w:szCs w:val="18"/>
          <w:lang w:val="fr-CH"/>
        </w:rPr>
        <w:t xml:space="preserve">Voici un plan comptable conforme au droit suisse, établi selon les directives du code des obligations. </w:t>
      </w:r>
      <w:r w:rsidRPr="0069625E">
        <w:rPr>
          <w:rFonts w:ascii="Helvetica" w:hAnsi="Helvetica"/>
          <w:i/>
          <w:sz w:val="18"/>
          <w:szCs w:val="18"/>
          <w:lang w:val="fr-CH"/>
        </w:rPr>
        <w:t xml:space="preserve">Journaliser les écritures suivantes au sein de la raison individuelle Thierry BASIQUE Vente d’appareils, en utilisant uniquement les numéros de comptes les plus appropriés (1 à 33). La société n’est pas assujettie à la TVA. Tous les </w:t>
      </w:r>
      <w:r>
        <w:rPr>
          <w:rFonts w:ascii="Helvetica" w:hAnsi="Helvetica"/>
          <w:i/>
          <w:sz w:val="18"/>
          <w:szCs w:val="18"/>
          <w:lang w:val="fr-CH"/>
        </w:rPr>
        <w:t>montants</w:t>
      </w:r>
      <w:r w:rsidRPr="0069625E">
        <w:rPr>
          <w:rFonts w:ascii="Helvetica" w:hAnsi="Helvetica"/>
          <w:i/>
          <w:sz w:val="18"/>
          <w:szCs w:val="18"/>
          <w:lang w:val="fr-CH"/>
        </w:rPr>
        <w:t xml:space="preserve"> sont indiqués en milliers de francs. </w:t>
      </w:r>
    </w:p>
    <w:p w:rsidR="0069625E" w:rsidRPr="00392979" w:rsidRDefault="0069625E">
      <w:pPr>
        <w:rPr>
          <w:rFonts w:ascii="Helvetica" w:hAnsi="Helvetica"/>
          <w:sz w:val="18"/>
          <w:szCs w:val="18"/>
          <w:lang w:val="fr-CH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247"/>
        <w:gridCol w:w="1583"/>
        <w:gridCol w:w="6379"/>
      </w:tblGrid>
      <w:tr w:rsidR="00EB7041" w:rsidRPr="0069625E" w:rsidTr="0069625E">
        <w:trPr>
          <w:trHeight w:val="962"/>
        </w:trPr>
        <w:tc>
          <w:tcPr>
            <w:tcW w:w="1247" w:type="dxa"/>
            <w:vMerge w:val="restart"/>
          </w:tcPr>
          <w:p w:rsidR="00EB7041" w:rsidRPr="0069625E" w:rsidRDefault="00EB7041" w:rsidP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Actif</w:t>
            </w:r>
          </w:p>
          <w:p w:rsidR="00392979" w:rsidRPr="0069625E" w:rsidRDefault="00392979" w:rsidP="00EB7041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(959a CO)</w:t>
            </w:r>
          </w:p>
        </w:tc>
        <w:tc>
          <w:tcPr>
            <w:tcW w:w="1583" w:type="dxa"/>
          </w:tcPr>
          <w:p w:rsidR="00EB7041" w:rsidRPr="0069625E" w:rsidRDefault="00EB7041" w:rsidP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actif</w:t>
            </w:r>
            <w:proofErr w:type="gramEnd"/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 xml:space="preserve"> circulant</w:t>
            </w:r>
          </w:p>
          <w:p w:rsidR="00EB7041" w:rsidRPr="0069625E" w:rsidRDefault="00EB7041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379" w:type="dxa"/>
          </w:tcPr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trésorerie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et actifs cotés en bourse détenus à court terme,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créances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résultant de la vente de biens et de prestations de services,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autres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créances à court terme,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stocks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et prestations de services non facturées,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actifs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de régularisation;</w:t>
            </w:r>
          </w:p>
        </w:tc>
      </w:tr>
      <w:tr w:rsidR="00EB7041" w:rsidRPr="0069625E" w:rsidTr="0069625E">
        <w:tc>
          <w:tcPr>
            <w:tcW w:w="1247" w:type="dxa"/>
            <w:vMerge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583" w:type="dxa"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actif</w:t>
            </w:r>
            <w:proofErr w:type="gramEnd"/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 xml:space="preserve"> immobilisé</w:t>
            </w:r>
          </w:p>
        </w:tc>
        <w:tc>
          <w:tcPr>
            <w:tcW w:w="6379" w:type="dxa"/>
          </w:tcPr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immobilisations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financières,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participations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immobilisations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corporelles,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immobilisations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incorporelles,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capital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social ou capital de la fondation non libéré.</w:t>
            </w:r>
          </w:p>
        </w:tc>
      </w:tr>
      <w:tr w:rsidR="00EB7041" w:rsidRPr="0069625E" w:rsidTr="0069625E">
        <w:tc>
          <w:tcPr>
            <w:tcW w:w="1247" w:type="dxa"/>
            <w:vMerge w:val="restart"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Passif</w:t>
            </w:r>
          </w:p>
          <w:p w:rsidR="00392979" w:rsidRPr="0069625E" w:rsidRDefault="00392979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(959a</w:t>
            </w: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, al. 2</w:t>
            </w: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CO)</w:t>
            </w:r>
          </w:p>
        </w:tc>
        <w:tc>
          <w:tcPr>
            <w:tcW w:w="1583" w:type="dxa"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capitaux</w:t>
            </w:r>
            <w:proofErr w:type="gramEnd"/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 xml:space="preserve"> étrangers à court terme</w:t>
            </w:r>
          </w:p>
        </w:tc>
        <w:tc>
          <w:tcPr>
            <w:tcW w:w="6379" w:type="dxa"/>
          </w:tcPr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dettes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résultant de l'achat de biens et de prestations de services,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dettes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à court terme portant intérêt,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autres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dettes à court terme,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passifs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de régularisation</w:t>
            </w:r>
          </w:p>
        </w:tc>
      </w:tr>
      <w:tr w:rsidR="00EB7041" w:rsidRPr="0069625E" w:rsidTr="0069625E">
        <w:tc>
          <w:tcPr>
            <w:tcW w:w="1247" w:type="dxa"/>
            <w:vMerge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583" w:type="dxa"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capitaux</w:t>
            </w:r>
            <w:proofErr w:type="gramEnd"/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 xml:space="preserve"> étrangers à long terme</w:t>
            </w:r>
          </w:p>
        </w:tc>
        <w:tc>
          <w:tcPr>
            <w:tcW w:w="6379" w:type="dxa"/>
          </w:tcPr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dettes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à long terme portant intérêt,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autres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dettes à long terme,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provisions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et postes analogues prévus par la loi</w:t>
            </w:r>
          </w:p>
        </w:tc>
      </w:tr>
      <w:tr w:rsidR="00EB7041" w:rsidRPr="0069625E" w:rsidTr="0069625E">
        <w:tc>
          <w:tcPr>
            <w:tcW w:w="1247" w:type="dxa"/>
            <w:vMerge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583" w:type="dxa"/>
          </w:tcPr>
          <w:p w:rsidR="00EB7041" w:rsidRPr="0069625E" w:rsidRDefault="00EB7041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capitaux</w:t>
            </w:r>
            <w:proofErr w:type="gramEnd"/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 xml:space="preserve"> propres</w:t>
            </w:r>
          </w:p>
        </w:tc>
        <w:tc>
          <w:tcPr>
            <w:tcW w:w="6379" w:type="dxa"/>
          </w:tcPr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capital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social ou capital de la fondation, le cas échéant ventilé par catégories de droits de participation,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réserve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légale issue du capital,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réserve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légale issue du bénéfice,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réserves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facultatives issues du bénéfice ou pertes cumulées, en diminution des capitaux propres,</w:t>
            </w:r>
          </w:p>
          <w:p w:rsidR="00EB7041" w:rsidRPr="0069625E" w:rsidRDefault="00EB7041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propres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parts du capital, en diminution des capitaux propres.</w:t>
            </w:r>
          </w:p>
        </w:tc>
      </w:tr>
      <w:tr w:rsidR="00392979" w:rsidRPr="0069625E" w:rsidTr="0069625E">
        <w:tc>
          <w:tcPr>
            <w:tcW w:w="2830" w:type="dxa"/>
            <w:gridSpan w:val="2"/>
          </w:tcPr>
          <w:p w:rsidR="00392979" w:rsidRPr="0069625E" w:rsidRDefault="00392979">
            <w:pPr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</w:pPr>
            <w:r w:rsidRPr="0069625E">
              <w:rPr>
                <w:rFonts w:ascii="Helvetica" w:hAnsi="Helvetica"/>
                <w:b/>
                <w:sz w:val="18"/>
                <w:szCs w:val="18"/>
                <w:u w:val="single"/>
                <w:lang w:val="fr-CH"/>
              </w:rPr>
              <w:t>Compte de résultat par nature</w:t>
            </w:r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(959b, al. 2 CO)</w:t>
            </w:r>
          </w:p>
        </w:tc>
        <w:tc>
          <w:tcPr>
            <w:tcW w:w="6379" w:type="dxa"/>
          </w:tcPr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produits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nets des ventes de biens et de prestations de services;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variation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des stocks de produits finis et semi-finis et variation des prestations de services non facturées;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charges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de matériel;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charges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de personnel;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autres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charges d'exploitation;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amortissements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et corrections de valeur sur les postes de l'actif immobilisé;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charges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et produits financiers;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charges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et produits hors exploitation;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charges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et produits exceptionnels, uniques ou hors période;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impôts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directs;</w:t>
            </w:r>
          </w:p>
          <w:p w:rsidR="00392979" w:rsidRPr="0069625E" w:rsidRDefault="00392979" w:rsidP="00392979">
            <w:pPr>
              <w:pStyle w:val="Paragraphedeliste"/>
              <w:numPr>
                <w:ilvl w:val="0"/>
                <w:numId w:val="1"/>
              </w:numPr>
              <w:ind w:left="456" w:hanging="456"/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gramStart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>bénéfice</w:t>
            </w:r>
            <w:proofErr w:type="gramEnd"/>
            <w:r w:rsidRPr="0069625E">
              <w:rPr>
                <w:rFonts w:ascii="Helvetica" w:hAnsi="Helvetica"/>
                <w:sz w:val="18"/>
                <w:szCs w:val="18"/>
                <w:lang w:val="fr-CH"/>
              </w:rPr>
              <w:t xml:space="preserve"> ou perte de l'exercice.</w:t>
            </w:r>
          </w:p>
        </w:tc>
      </w:tr>
    </w:tbl>
    <w:p w:rsidR="00EB7041" w:rsidRPr="00392979" w:rsidRDefault="00EB7041">
      <w:pPr>
        <w:rPr>
          <w:rFonts w:ascii="Helvetica" w:hAnsi="Helvetica"/>
          <w:sz w:val="18"/>
          <w:szCs w:val="18"/>
          <w:lang w:val="fr-CH"/>
        </w:rPr>
      </w:pPr>
    </w:p>
    <w:p w:rsidR="00392979" w:rsidRPr="00392979" w:rsidRDefault="00392979" w:rsidP="00392979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 w:rsidRPr="00392979">
        <w:rPr>
          <w:rFonts w:ascii="Helvetica" w:hAnsi="Helvetica"/>
          <w:sz w:val="18"/>
          <w:szCs w:val="18"/>
          <w:lang w:val="fr-CH"/>
        </w:rPr>
        <w:t xml:space="preserve">Nous vendons de la marchandise à crédit, pour un montant de 12. </w:t>
      </w:r>
    </w:p>
    <w:p w:rsidR="00392979" w:rsidRDefault="00392979" w:rsidP="00392979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 w:rsidRPr="00392979">
        <w:rPr>
          <w:rFonts w:ascii="Helvetica" w:hAnsi="Helvetica"/>
          <w:sz w:val="18"/>
          <w:szCs w:val="18"/>
          <w:lang w:val="fr-CH"/>
        </w:rPr>
        <w:t xml:space="preserve">Nous accordons un rabais de 2 aux clients de l’opération 1. </w:t>
      </w:r>
    </w:p>
    <w:p w:rsidR="0069625E" w:rsidRPr="00392979" w:rsidRDefault="0069625E" w:rsidP="00392979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Nous achetons des marchandises pour 40. Nous obtenons un rabais de 10 % sur ce montant, le paiement à lieu pour moitié immédiatement et pour le solde dans 90 jours. </w:t>
      </w:r>
    </w:p>
    <w:p w:rsidR="00392979" w:rsidRDefault="00392979" w:rsidP="00392979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 w:rsidRPr="00392979">
        <w:rPr>
          <w:rFonts w:ascii="Helvetica" w:hAnsi="Helvetica"/>
          <w:sz w:val="18"/>
          <w:szCs w:val="18"/>
          <w:lang w:val="fr-CH"/>
        </w:rPr>
        <w:t xml:space="preserve">Nous encaissons </w:t>
      </w:r>
      <w:r>
        <w:rPr>
          <w:rFonts w:ascii="Helvetica" w:hAnsi="Helvetica"/>
          <w:sz w:val="18"/>
          <w:szCs w:val="18"/>
          <w:lang w:val="fr-CH"/>
        </w:rPr>
        <w:t xml:space="preserve">des ventes déjà comptabilisées, pour 17. </w:t>
      </w:r>
    </w:p>
    <w:p w:rsidR="00392979" w:rsidRDefault="00392979" w:rsidP="00392979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Nous achetons par virement bancaire des titres cotés en bourse pour 8. </w:t>
      </w:r>
    </w:p>
    <w:p w:rsidR="00392979" w:rsidRDefault="0069625E" w:rsidP="00392979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Les salaires du personnel</w:t>
      </w:r>
      <w:r w:rsidR="00392979">
        <w:rPr>
          <w:rFonts w:ascii="Helvetica" w:hAnsi="Helvetica"/>
          <w:sz w:val="18"/>
          <w:szCs w:val="18"/>
          <w:lang w:val="fr-CH"/>
        </w:rPr>
        <w:t xml:space="preserve"> sont payés par virement bancaire. </w:t>
      </w:r>
      <w:r>
        <w:rPr>
          <w:rFonts w:ascii="Helvetica" w:hAnsi="Helvetica"/>
          <w:sz w:val="18"/>
          <w:szCs w:val="18"/>
          <w:lang w:val="fr-CH"/>
        </w:rPr>
        <w:t xml:space="preserve">Salaires bruts de 100, salaires nets de 95. </w:t>
      </w:r>
      <w:r w:rsidR="00392979">
        <w:rPr>
          <w:rFonts w:ascii="Helvetica" w:hAnsi="Helvetica"/>
          <w:sz w:val="18"/>
          <w:szCs w:val="18"/>
          <w:lang w:val="fr-CH"/>
        </w:rPr>
        <w:t>Il faut prendre en compte 5 de</w:t>
      </w:r>
      <w:r>
        <w:rPr>
          <w:rFonts w:ascii="Helvetica" w:hAnsi="Helvetica"/>
          <w:sz w:val="18"/>
          <w:szCs w:val="18"/>
          <w:lang w:val="fr-CH"/>
        </w:rPr>
        <w:t xml:space="preserve"> charges sociales à charge des employés et le même montant à charge de l’employeur. </w:t>
      </w:r>
    </w:p>
    <w:p w:rsidR="00392979" w:rsidRDefault="00392979" w:rsidP="00392979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Nous achetons un immeuble pour 300, pour le paiement, nous réglons immédiatement 10 par virement postal et nous obtenons un prêt hypothécaire pour le solde. </w:t>
      </w:r>
    </w:p>
    <w:p w:rsidR="00392979" w:rsidRDefault="00392979" w:rsidP="00392979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Nous payons des impôts pour 10. </w:t>
      </w:r>
    </w:p>
    <w:p w:rsidR="00392979" w:rsidRDefault="00392979" w:rsidP="00392979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Notre stock en fin d’année s’élève à 17, le stock en début d’année était de 16. </w:t>
      </w:r>
    </w:p>
    <w:p w:rsidR="0069625E" w:rsidRDefault="0069625E" w:rsidP="00392979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Il y a des réparations à régler en espèces sur notre mobilier, pour 14. Nous recevons la facture ce jour.</w:t>
      </w:r>
    </w:p>
    <w:p w:rsidR="0069625E" w:rsidRDefault="0069625E" w:rsidP="00392979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Les intérêts bancaires, de 1, sont portés en compte (ne pas tenir compte de l’IA). </w:t>
      </w:r>
    </w:p>
    <w:p w:rsidR="0069625E" w:rsidRDefault="0069625E" w:rsidP="0069625E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 xml:space="preserve">Nous amortissons nos véhicules pour 6, de manière directe. </w:t>
      </w:r>
    </w:p>
    <w:p w:rsidR="00BE1047" w:rsidRDefault="0069625E" w:rsidP="0069625E">
      <w:pPr>
        <w:pStyle w:val="Paragraphedeliste"/>
        <w:numPr>
          <w:ilvl w:val="0"/>
          <w:numId w:val="2"/>
        </w:num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t>Nous encaissons les loyers de 25 sur notre immeuble hors exploitation.</w:t>
      </w:r>
    </w:p>
    <w:p w:rsidR="00BE1047" w:rsidRDefault="00BE1047">
      <w:pPr>
        <w:rPr>
          <w:rFonts w:ascii="Helvetica" w:hAnsi="Helvetica"/>
          <w:sz w:val="18"/>
          <w:szCs w:val="18"/>
          <w:lang w:val="fr-CH"/>
        </w:rPr>
      </w:pPr>
      <w:r>
        <w:rPr>
          <w:rFonts w:ascii="Helvetica" w:hAnsi="Helvetica"/>
          <w:sz w:val="18"/>
          <w:szCs w:val="18"/>
          <w:lang w:val="fr-CH"/>
        </w:rPr>
        <w:br w:type="page"/>
      </w:r>
    </w:p>
    <w:p w:rsidR="0069625E" w:rsidRDefault="0069625E" w:rsidP="00BE1047">
      <w:pPr>
        <w:rPr>
          <w:rFonts w:ascii="Helvetica" w:hAnsi="Helvetica"/>
          <w:sz w:val="18"/>
          <w:szCs w:val="18"/>
          <w:lang w:val="fr-CH"/>
        </w:rPr>
      </w:pPr>
    </w:p>
    <w:tbl>
      <w:tblPr>
        <w:tblStyle w:val="Grilledutableau"/>
        <w:tblW w:w="4536" w:type="dxa"/>
        <w:jc w:val="center"/>
        <w:tblLook w:val="04A0" w:firstRow="1" w:lastRow="0" w:firstColumn="1" w:lastColumn="0" w:noHBand="0" w:noVBand="1"/>
      </w:tblPr>
      <w:tblGrid>
        <w:gridCol w:w="602"/>
        <w:gridCol w:w="975"/>
        <w:gridCol w:w="975"/>
        <w:gridCol w:w="992"/>
        <w:gridCol w:w="992"/>
      </w:tblGrid>
      <w:tr w:rsidR="00BE1047" w:rsidTr="008E12FB">
        <w:trPr>
          <w:jc w:val="center"/>
        </w:trPr>
        <w:tc>
          <w:tcPr>
            <w:tcW w:w="1811" w:type="dxa"/>
            <w:vAlign w:val="center"/>
          </w:tcPr>
          <w:p w:rsidR="00BE1047" w:rsidRDefault="00BE1047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N°</w:t>
            </w:r>
          </w:p>
        </w:tc>
        <w:tc>
          <w:tcPr>
            <w:tcW w:w="1811" w:type="dxa"/>
            <w:vAlign w:val="center"/>
          </w:tcPr>
          <w:p w:rsidR="00BE1047" w:rsidRDefault="00BE1047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Compte débit</w:t>
            </w:r>
          </w:p>
        </w:tc>
        <w:tc>
          <w:tcPr>
            <w:tcW w:w="1811" w:type="dxa"/>
            <w:vAlign w:val="center"/>
          </w:tcPr>
          <w:p w:rsidR="00BE1047" w:rsidRDefault="00BE1047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Compte crédit</w:t>
            </w:r>
          </w:p>
        </w:tc>
        <w:tc>
          <w:tcPr>
            <w:tcW w:w="1811" w:type="dxa"/>
            <w:vAlign w:val="center"/>
          </w:tcPr>
          <w:p w:rsidR="00BE1047" w:rsidRDefault="00BE1047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Montant débit</w:t>
            </w:r>
          </w:p>
        </w:tc>
        <w:tc>
          <w:tcPr>
            <w:tcW w:w="1811" w:type="dxa"/>
            <w:vAlign w:val="center"/>
          </w:tcPr>
          <w:p w:rsidR="00BE1047" w:rsidRDefault="00BE1047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Montant crédit</w:t>
            </w:r>
          </w:p>
        </w:tc>
      </w:tr>
      <w:tr w:rsidR="00BE1047" w:rsidTr="008E12FB">
        <w:trPr>
          <w:jc w:val="center"/>
        </w:trPr>
        <w:tc>
          <w:tcPr>
            <w:tcW w:w="1811" w:type="dxa"/>
            <w:vAlign w:val="center"/>
          </w:tcPr>
          <w:p w:rsidR="00BE1047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11" w:type="dxa"/>
            <w:vAlign w:val="center"/>
          </w:tcPr>
          <w:p w:rsidR="00BE1047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</w:p>
        </w:tc>
        <w:tc>
          <w:tcPr>
            <w:tcW w:w="1811" w:type="dxa"/>
            <w:vAlign w:val="center"/>
          </w:tcPr>
          <w:p w:rsidR="00BE1047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23</w:t>
            </w:r>
          </w:p>
        </w:tc>
        <w:tc>
          <w:tcPr>
            <w:tcW w:w="1811" w:type="dxa"/>
            <w:vAlign w:val="center"/>
          </w:tcPr>
          <w:p w:rsidR="00BE1047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</w:t>
            </w:r>
          </w:p>
        </w:tc>
        <w:tc>
          <w:tcPr>
            <w:tcW w:w="1811" w:type="dxa"/>
            <w:vAlign w:val="center"/>
          </w:tcPr>
          <w:p w:rsidR="00BE1047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</w:t>
            </w:r>
          </w:p>
        </w:tc>
      </w:tr>
      <w:tr w:rsidR="00BE1047" w:rsidTr="008E12FB">
        <w:trPr>
          <w:jc w:val="center"/>
        </w:trPr>
        <w:tc>
          <w:tcPr>
            <w:tcW w:w="1811" w:type="dxa"/>
            <w:vAlign w:val="center"/>
          </w:tcPr>
          <w:p w:rsidR="00BE1047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</w:p>
        </w:tc>
        <w:tc>
          <w:tcPr>
            <w:tcW w:w="1811" w:type="dxa"/>
            <w:vAlign w:val="center"/>
          </w:tcPr>
          <w:p w:rsidR="00BE1047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23</w:t>
            </w:r>
          </w:p>
        </w:tc>
        <w:tc>
          <w:tcPr>
            <w:tcW w:w="1811" w:type="dxa"/>
            <w:vAlign w:val="center"/>
          </w:tcPr>
          <w:p w:rsidR="00BE1047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</w:p>
        </w:tc>
        <w:tc>
          <w:tcPr>
            <w:tcW w:w="1811" w:type="dxa"/>
            <w:vAlign w:val="center"/>
          </w:tcPr>
          <w:p w:rsidR="00BE1047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</w:p>
        </w:tc>
        <w:tc>
          <w:tcPr>
            <w:tcW w:w="1811" w:type="dxa"/>
            <w:vAlign w:val="center"/>
          </w:tcPr>
          <w:p w:rsidR="00BE1047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25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40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25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36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17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17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26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100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95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26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15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-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290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32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24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25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14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14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29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12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28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13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25</w:t>
            </w: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25</w:t>
            </w: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8E12FB" w:rsidTr="008E12FB">
        <w:trPr>
          <w:jc w:val="center"/>
        </w:trPr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bookmarkStart w:id="0" w:name="_GoBack"/>
            <w:bookmarkEnd w:id="0"/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1811" w:type="dxa"/>
            <w:vAlign w:val="center"/>
          </w:tcPr>
          <w:p w:rsidR="008E12FB" w:rsidRDefault="008E12FB" w:rsidP="008E12FB">
            <w:pPr>
              <w:spacing w:beforeLines="40" w:before="96" w:afterLines="40" w:after="96"/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</w:tbl>
    <w:p w:rsidR="00BE1047" w:rsidRPr="00BE1047" w:rsidRDefault="00BE1047" w:rsidP="00BE1047">
      <w:pPr>
        <w:rPr>
          <w:rFonts w:ascii="Helvetica" w:hAnsi="Helvetica"/>
          <w:sz w:val="18"/>
          <w:szCs w:val="18"/>
          <w:lang w:val="fr-CH"/>
        </w:rPr>
      </w:pPr>
    </w:p>
    <w:sectPr w:rsidR="00BE1047" w:rsidRPr="00BE1047" w:rsidSect="0069625E">
      <w:footerReference w:type="default" r:id="rId7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8A" w:rsidRDefault="0077768A" w:rsidP="0069625E">
      <w:r>
        <w:separator/>
      </w:r>
    </w:p>
  </w:endnote>
  <w:endnote w:type="continuationSeparator" w:id="0">
    <w:p w:rsidR="0077768A" w:rsidRDefault="0077768A" w:rsidP="0069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25E" w:rsidRPr="0069625E" w:rsidRDefault="0069625E">
    <w:pPr>
      <w:pStyle w:val="Pieddepage"/>
      <w:rPr>
        <w:rFonts w:ascii="Helvetica" w:hAnsi="Helvetica"/>
        <w:sz w:val="20"/>
        <w:szCs w:val="20"/>
        <w:lang w:val="fr-CH"/>
      </w:rPr>
    </w:pPr>
    <w:r w:rsidRPr="0069625E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8A" w:rsidRDefault="0077768A" w:rsidP="0069625E">
      <w:r>
        <w:separator/>
      </w:r>
    </w:p>
  </w:footnote>
  <w:footnote w:type="continuationSeparator" w:id="0">
    <w:p w:rsidR="0077768A" w:rsidRDefault="0077768A" w:rsidP="0069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17760"/>
    <w:multiLevelType w:val="hybridMultilevel"/>
    <w:tmpl w:val="CFF6B9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166D5"/>
    <w:multiLevelType w:val="hybridMultilevel"/>
    <w:tmpl w:val="A05A051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41"/>
    <w:rsid w:val="00081F62"/>
    <w:rsid w:val="00197A0B"/>
    <w:rsid w:val="0024131C"/>
    <w:rsid w:val="00392979"/>
    <w:rsid w:val="003C33F6"/>
    <w:rsid w:val="00694229"/>
    <w:rsid w:val="0069625E"/>
    <w:rsid w:val="0077768A"/>
    <w:rsid w:val="007855B7"/>
    <w:rsid w:val="008E12FB"/>
    <w:rsid w:val="00BE1047"/>
    <w:rsid w:val="00E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EF231"/>
  <w15:chartTrackingRefBased/>
  <w15:docId w15:val="{22694792-B69A-1D4E-9B62-67091629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041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62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625E"/>
  </w:style>
  <w:style w:type="paragraph" w:styleId="Pieddepage">
    <w:name w:val="footer"/>
    <w:basedOn w:val="Normal"/>
    <w:link w:val="PieddepageCar"/>
    <w:uiPriority w:val="99"/>
    <w:unhideWhenUsed/>
    <w:rsid w:val="006962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cp:lastPrinted>2018-02-05T19:36:00Z</cp:lastPrinted>
  <dcterms:created xsi:type="dcterms:W3CDTF">2018-02-05T19:43:00Z</dcterms:created>
  <dcterms:modified xsi:type="dcterms:W3CDTF">2018-02-05T19:43:00Z</dcterms:modified>
</cp:coreProperties>
</file>